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00BE4" w:rsidP="67DDE781" w:rsidRDefault="009C1A41" w14:paraId="5EEBA747" w14:textId="07796F1C">
      <w:pPr>
        <w:pStyle w:val="BodyText"/>
        <w:ind w:firstLine="0"/>
        <w:rPr>
          <w:rFonts w:ascii="Times New Roman"/>
          <w:sz w:val="20"/>
          <w:szCs w:val="20"/>
        </w:rPr>
      </w:pPr>
      <w:r w:rsidRPr="0039739D">
        <w:rPr>
          <w:noProof/>
        </w:rPr>
        <w:drawing>
          <wp:anchor distT="0" distB="0" distL="0" distR="0" simplePos="0" relativeHeight="251658240" behindDoc="0" locked="0" layoutInCell="1" allowOverlap="1" wp14:anchorId="5EEBA819" wp14:editId="512859CD">
            <wp:simplePos x="0" y="0"/>
            <wp:positionH relativeFrom="page">
              <wp:posOffset>12700</wp:posOffset>
            </wp:positionH>
            <wp:positionV relativeFrom="paragraph">
              <wp:posOffset>-709295</wp:posOffset>
            </wp:positionV>
            <wp:extent cx="7548625" cy="1000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7548625" cy="1000125"/>
                    </a:xfrm>
                    <a:prstGeom prst="rect">
                      <a:avLst/>
                    </a:prstGeom>
                  </pic:spPr>
                </pic:pic>
              </a:graphicData>
            </a:graphic>
          </wp:anchor>
        </w:drawing>
      </w:r>
      <w:r w:rsidR="009C13A1">
        <w:rPr>
          <w:rFonts w:ascii="Times New Roman"/>
          <w:sz w:val="20"/>
          <w:szCs w:val="20"/>
        </w:rPr>
        <w:t xml:space="preserve">She is Penny in this scenario, not you </w:t>
      </w:r>
      <w:r w:rsidR="009C13A1">
        <w:rPr>
          <w:rFonts w:ascii="Times New Roman"/>
          <w:sz w:val="20"/>
          <w:szCs w:val="20"/>
        </w:rPr>
        <w:t>–</w:t>
      </w:r>
      <w:r w:rsidR="009C13A1">
        <w:rPr>
          <w:rFonts w:ascii="Times New Roman"/>
          <w:sz w:val="20"/>
          <w:szCs w:val="20"/>
        </w:rPr>
        <w:t xml:space="preserve"> Amanda I </w:t>
      </w:r>
      <w:proofErr w:type="spellStart"/>
      <w:proofErr w:type="gramStart"/>
      <w:r w:rsidR="009C13A1">
        <w:rPr>
          <w:rFonts w:ascii="Times New Roman"/>
          <w:sz w:val="20"/>
          <w:szCs w:val="20"/>
        </w:rPr>
        <w:t>you</w:t>
      </w:r>
      <w:r w:rsidRPr="67DDE781" w:rsidR="3E9E415A">
        <w:rPr>
          <w:rFonts w:ascii="Times New Roman"/>
          <w:sz w:val="20"/>
          <w:szCs w:val="20"/>
        </w:rPr>
        <w:t>esctru</w:t>
      </w:r>
      <w:proofErr w:type="spellEnd"/>
      <w:proofErr w:type="gramEnd"/>
    </w:p>
    <w:p w:rsidR="67DDE781" w:rsidP="67DDE781" w:rsidRDefault="67DDE781" w14:paraId="0B6543DB" w14:textId="11D87F0D">
      <w:pPr>
        <w:pStyle w:val="BodyText"/>
        <w:ind w:firstLine="0"/>
        <w:rPr>
          <w:sz w:val="20"/>
          <w:szCs w:val="20"/>
        </w:rPr>
      </w:pPr>
    </w:p>
    <w:p w:rsidR="00300BE4" w:rsidRDefault="00300BE4" w14:paraId="5EEBA748" w14:textId="77777777">
      <w:pPr>
        <w:pStyle w:val="BodyText"/>
        <w:ind w:firstLine="0"/>
        <w:rPr>
          <w:rFonts w:ascii="Times New Roman"/>
          <w:sz w:val="20"/>
        </w:rPr>
      </w:pPr>
    </w:p>
    <w:p w:rsidR="00300BE4" w:rsidRDefault="00300BE4" w14:paraId="5EEBA749" w14:textId="78CB89C2">
      <w:pPr>
        <w:pStyle w:val="BodyText"/>
        <w:ind w:firstLine="0"/>
        <w:rPr>
          <w:rFonts w:ascii="Times New Roman"/>
          <w:sz w:val="20"/>
        </w:rPr>
      </w:pPr>
    </w:p>
    <w:p w:rsidRPr="00660431" w:rsidR="00300BE4" w:rsidP="005367C0" w:rsidRDefault="005367C0" w14:paraId="5EEBA74A" w14:textId="29B7E144">
      <w:pPr>
        <w:pStyle w:val="BodyText"/>
        <w:ind w:firstLine="0"/>
        <w:jc w:val="right"/>
        <w:rPr>
          <w:rFonts w:ascii="Arial" w:hAnsi="Arial" w:cs="Arial"/>
          <w:b/>
          <w:bCs/>
          <w:color w:val="FF0000"/>
          <w:sz w:val="24"/>
          <w:szCs w:val="24"/>
        </w:rPr>
      </w:pPr>
      <w:r w:rsidRPr="00660431">
        <w:rPr>
          <w:rFonts w:ascii="Arial" w:hAnsi="Arial" w:cs="Arial"/>
          <w:b/>
          <w:bCs/>
          <w:color w:val="FF0000"/>
          <w:sz w:val="24"/>
          <w:szCs w:val="24"/>
        </w:rPr>
        <w:t xml:space="preserve">ATTACHMENT </w:t>
      </w:r>
      <w:r w:rsidR="00C03D57">
        <w:rPr>
          <w:rFonts w:ascii="Arial" w:hAnsi="Arial" w:cs="Arial"/>
          <w:b/>
          <w:bCs/>
          <w:color w:val="FF0000"/>
          <w:sz w:val="24"/>
          <w:szCs w:val="24"/>
        </w:rPr>
        <w:t>A</w:t>
      </w:r>
    </w:p>
    <w:p w:rsidRPr="00AC1935" w:rsidR="00300BE4" w:rsidP="006B3D40" w:rsidRDefault="00CB2D8A" w14:paraId="5EEBA750" w14:textId="5B7236E0">
      <w:pPr>
        <w:spacing w:before="70"/>
        <w:rPr>
          <w:rFonts w:ascii="VIC SemiBold"/>
          <w:b/>
          <w:sz w:val="48"/>
          <w:szCs w:val="48"/>
        </w:rPr>
      </w:pPr>
      <w:r w:rsidRPr="00AC1935">
        <w:rPr>
          <w:rFonts w:ascii="VIC SemiBold"/>
          <w:b/>
          <w:color w:val="343741"/>
          <w:sz w:val="48"/>
          <w:szCs w:val="48"/>
        </w:rPr>
        <w:t>Jobs and Skills Exchange (JSE) Recruitment Policy</w:t>
      </w:r>
    </w:p>
    <w:p w:rsidR="002C6246" w:rsidRDefault="002C6246" w14:paraId="33BE8348" w14:textId="77777777">
      <w:pPr>
        <w:pStyle w:val="ListParagraph"/>
        <w:spacing w:before="0" w:line="242" w:lineRule="auto"/>
        <w:ind w:left="1144" w:right="1026" w:firstLine="0"/>
      </w:pPr>
    </w:p>
    <w:p w:rsidR="002C6246" w:rsidP="00E75879" w:rsidRDefault="00E75879" w14:paraId="0C4B52E1" w14:textId="1B3017BE">
      <w:pPr>
        <w:pStyle w:val="ListParagraph"/>
        <w:tabs>
          <w:tab w:val="left" w:pos="6870"/>
        </w:tabs>
        <w:spacing w:before="0" w:line="242" w:lineRule="auto"/>
        <w:ind w:left="1144" w:right="1026" w:firstLine="0"/>
      </w:pPr>
      <w:r>
        <w:tab/>
      </w:r>
    </w:p>
    <w:p w:rsidR="00266898" w:rsidP="00D44E3E" w:rsidRDefault="00266898" w14:paraId="527DEE40" w14:textId="77777777">
      <w:pPr>
        <w:pStyle w:val="ListParagraph"/>
        <w:spacing w:before="0" w:line="242" w:lineRule="auto"/>
        <w:ind w:left="1144" w:right="1026" w:firstLine="0"/>
      </w:pPr>
    </w:p>
    <w:sdt>
      <w:sdtPr>
        <w:rPr>
          <w:rFonts w:ascii="VIC" w:hAnsi="VIC" w:eastAsia="VIC" w:cs="VIC"/>
          <w:color w:val="auto"/>
          <w:sz w:val="22"/>
          <w:szCs w:val="22"/>
        </w:rPr>
        <w:id w:val="-901439028"/>
        <w:docPartObj>
          <w:docPartGallery w:val="Table of Contents"/>
          <w:docPartUnique/>
        </w:docPartObj>
      </w:sdtPr>
      <w:sdtEndPr>
        <w:rPr>
          <w:rFonts w:ascii="VIC" w:hAnsi="VIC" w:eastAsia="VIC" w:cs="VIC"/>
          <w:b w:val="1"/>
          <w:bCs w:val="1"/>
          <w:noProof/>
          <w:color w:val="auto"/>
          <w:sz w:val="22"/>
          <w:szCs w:val="22"/>
        </w:rPr>
      </w:sdtEndPr>
      <w:sdtContent>
        <w:p w:rsidR="0053231B" w:rsidP="00B96FE3" w:rsidRDefault="0053231B" w14:paraId="087E23DB" w14:textId="3347D0D4">
          <w:pPr>
            <w:pStyle w:val="TOCHeading"/>
            <w:ind w:right="283"/>
            <w:rPr>
              <w:rFonts w:ascii="VIC" w:hAnsi="VIC"/>
            </w:rPr>
          </w:pPr>
          <w:r w:rsidRPr="00266898">
            <w:rPr>
              <w:rFonts w:ascii="VIC" w:hAnsi="VIC"/>
            </w:rPr>
            <w:t>Table of Contents</w:t>
          </w:r>
        </w:p>
        <w:p w:rsidRPr="00D502B2" w:rsidR="00A96744" w:rsidP="00B96FE3" w:rsidRDefault="00A96744" w14:paraId="71D4AE12" w14:textId="77777777">
          <w:pPr>
            <w:ind w:right="283"/>
          </w:pPr>
        </w:p>
        <w:p w:rsidR="00135614" w:rsidRDefault="0053231B" w14:paraId="547F9E5D" w14:textId="1D80B70D">
          <w:pPr>
            <w:pStyle w:val="TOC1"/>
            <w:rPr>
              <w:rFonts w:asciiTheme="minorHAnsi" w:hAnsiTheme="minorHAnsi" w:eastAsiaTheme="minorEastAsia" w:cstheme="minorBidi"/>
              <w:noProof/>
              <w:lang w:val="en-AU" w:eastAsia="en-AU"/>
            </w:rPr>
          </w:pPr>
          <w:r>
            <w:fldChar w:fldCharType="begin"/>
          </w:r>
          <w:r>
            <w:instrText xml:space="preserve"> TOC \o "1-3" \h \z \u </w:instrText>
          </w:r>
          <w:r>
            <w:fldChar w:fldCharType="separate"/>
          </w:r>
          <w:hyperlink w:history="1" w:anchor="_Toc122516987">
            <w:r w:rsidRPr="0062349A" w:rsidR="00135614">
              <w:rPr>
                <w:rStyle w:val="Hyperlink"/>
                <w:b/>
                <w:noProof/>
              </w:rPr>
              <w:t>Section 1 – Introduction and Purpose</w:t>
            </w:r>
            <w:r w:rsidR="00135614">
              <w:rPr>
                <w:noProof/>
                <w:webHidden/>
              </w:rPr>
              <w:tab/>
            </w:r>
            <w:r w:rsidR="00135614">
              <w:rPr>
                <w:noProof/>
                <w:webHidden/>
              </w:rPr>
              <w:fldChar w:fldCharType="begin"/>
            </w:r>
            <w:r w:rsidR="00135614">
              <w:rPr>
                <w:noProof/>
                <w:webHidden/>
              </w:rPr>
              <w:instrText xml:space="preserve"> PAGEREF _Toc122516987 \h </w:instrText>
            </w:r>
            <w:r w:rsidR="00135614">
              <w:rPr>
                <w:noProof/>
                <w:webHidden/>
              </w:rPr>
            </w:r>
            <w:r w:rsidR="00135614">
              <w:rPr>
                <w:noProof/>
                <w:webHidden/>
              </w:rPr>
              <w:fldChar w:fldCharType="separate"/>
            </w:r>
            <w:r w:rsidR="00135614">
              <w:rPr>
                <w:noProof/>
                <w:webHidden/>
              </w:rPr>
              <w:t>2</w:t>
            </w:r>
            <w:r w:rsidR="00135614">
              <w:rPr>
                <w:noProof/>
                <w:webHidden/>
              </w:rPr>
              <w:fldChar w:fldCharType="end"/>
            </w:r>
          </w:hyperlink>
        </w:p>
        <w:p w:rsidR="00135614" w:rsidRDefault="006623D2" w14:paraId="3EEB3013" w14:textId="0F0B13E0">
          <w:pPr>
            <w:pStyle w:val="TOC1"/>
            <w:rPr>
              <w:rFonts w:asciiTheme="minorHAnsi" w:hAnsiTheme="minorHAnsi" w:eastAsiaTheme="minorEastAsia" w:cstheme="minorBidi"/>
              <w:noProof/>
              <w:lang w:val="en-AU" w:eastAsia="en-AU"/>
            </w:rPr>
          </w:pPr>
          <w:hyperlink w:history="1" w:anchor="_Toc122516988">
            <w:r w:rsidRPr="0062349A" w:rsidR="00135614">
              <w:rPr>
                <w:rStyle w:val="Hyperlink"/>
                <w:b/>
                <w:noProof/>
              </w:rPr>
              <w:t>Section 2 – Policy Outline and Principles</w:t>
            </w:r>
            <w:r w:rsidR="00135614">
              <w:rPr>
                <w:noProof/>
                <w:webHidden/>
              </w:rPr>
              <w:tab/>
            </w:r>
            <w:r w:rsidR="00135614">
              <w:rPr>
                <w:noProof/>
                <w:webHidden/>
              </w:rPr>
              <w:fldChar w:fldCharType="begin"/>
            </w:r>
            <w:r w:rsidR="00135614">
              <w:rPr>
                <w:noProof/>
                <w:webHidden/>
              </w:rPr>
              <w:instrText xml:space="preserve"> PAGEREF _Toc122516988 \h </w:instrText>
            </w:r>
            <w:r w:rsidR="00135614">
              <w:rPr>
                <w:noProof/>
                <w:webHidden/>
              </w:rPr>
            </w:r>
            <w:r w:rsidR="00135614">
              <w:rPr>
                <w:noProof/>
                <w:webHidden/>
              </w:rPr>
              <w:fldChar w:fldCharType="separate"/>
            </w:r>
            <w:r w:rsidR="00135614">
              <w:rPr>
                <w:noProof/>
                <w:webHidden/>
              </w:rPr>
              <w:t>3</w:t>
            </w:r>
            <w:r w:rsidR="00135614">
              <w:rPr>
                <w:noProof/>
                <w:webHidden/>
              </w:rPr>
              <w:fldChar w:fldCharType="end"/>
            </w:r>
          </w:hyperlink>
        </w:p>
        <w:p w:rsidR="00135614" w:rsidRDefault="006623D2" w14:paraId="5FA01E05" w14:textId="207B4E61">
          <w:pPr>
            <w:pStyle w:val="TOC2"/>
            <w:rPr>
              <w:rFonts w:asciiTheme="minorHAnsi" w:hAnsiTheme="minorHAnsi" w:eastAsiaTheme="minorEastAsia" w:cstheme="minorBidi"/>
              <w:noProof/>
              <w:lang w:val="en-AU" w:eastAsia="en-AU"/>
            </w:rPr>
          </w:pPr>
          <w:hyperlink w:history="1" w:anchor="_Toc122516989">
            <w:r w:rsidRPr="0062349A" w:rsidR="00135614">
              <w:rPr>
                <w:rStyle w:val="Hyperlink"/>
                <w:noProof/>
              </w:rPr>
              <w:t xml:space="preserve">2.1 </w:t>
            </w:r>
            <w:r w:rsidR="00135614">
              <w:rPr>
                <w:rFonts w:asciiTheme="minorHAnsi" w:hAnsiTheme="minorHAnsi" w:eastAsiaTheme="minorEastAsia" w:cstheme="minorBidi"/>
                <w:noProof/>
                <w:lang w:val="en-AU" w:eastAsia="en-AU"/>
              </w:rPr>
              <w:tab/>
            </w:r>
            <w:r w:rsidRPr="0062349A" w:rsidR="00135614">
              <w:rPr>
                <w:rStyle w:val="Hyperlink"/>
                <w:noProof/>
              </w:rPr>
              <w:t>Scope and application</w:t>
            </w:r>
            <w:r w:rsidR="00135614">
              <w:rPr>
                <w:noProof/>
                <w:webHidden/>
              </w:rPr>
              <w:tab/>
            </w:r>
            <w:r w:rsidR="00135614">
              <w:rPr>
                <w:noProof/>
                <w:webHidden/>
              </w:rPr>
              <w:fldChar w:fldCharType="begin"/>
            </w:r>
            <w:r w:rsidR="00135614">
              <w:rPr>
                <w:noProof/>
                <w:webHidden/>
              </w:rPr>
              <w:instrText xml:space="preserve"> PAGEREF _Toc122516989 \h </w:instrText>
            </w:r>
            <w:r w:rsidR="00135614">
              <w:rPr>
                <w:noProof/>
                <w:webHidden/>
              </w:rPr>
            </w:r>
            <w:r w:rsidR="00135614">
              <w:rPr>
                <w:noProof/>
                <w:webHidden/>
              </w:rPr>
              <w:fldChar w:fldCharType="separate"/>
            </w:r>
            <w:r w:rsidR="00135614">
              <w:rPr>
                <w:noProof/>
                <w:webHidden/>
              </w:rPr>
              <w:t>3</w:t>
            </w:r>
            <w:r w:rsidR="00135614">
              <w:rPr>
                <w:noProof/>
                <w:webHidden/>
              </w:rPr>
              <w:fldChar w:fldCharType="end"/>
            </w:r>
          </w:hyperlink>
        </w:p>
        <w:p w:rsidR="00135614" w:rsidRDefault="006623D2" w14:paraId="1CAC8CD8" w14:textId="6F326B8D">
          <w:pPr>
            <w:pStyle w:val="TOC2"/>
            <w:rPr>
              <w:rFonts w:asciiTheme="minorHAnsi" w:hAnsiTheme="minorHAnsi" w:eastAsiaTheme="minorEastAsia" w:cstheme="minorBidi"/>
              <w:noProof/>
              <w:lang w:val="en-AU" w:eastAsia="en-AU"/>
            </w:rPr>
          </w:pPr>
          <w:hyperlink w:history="1" w:anchor="_Toc122516990">
            <w:r w:rsidRPr="0062349A" w:rsidR="00135614">
              <w:rPr>
                <w:rStyle w:val="Hyperlink"/>
                <w:noProof/>
                <w:w w:val="99"/>
              </w:rPr>
              <w:t>2.2.</w:t>
            </w:r>
            <w:r w:rsidR="00135614">
              <w:rPr>
                <w:rFonts w:asciiTheme="minorHAnsi" w:hAnsiTheme="minorHAnsi" w:eastAsiaTheme="minorEastAsia" w:cstheme="minorBidi"/>
                <w:noProof/>
                <w:lang w:val="en-AU" w:eastAsia="en-AU"/>
              </w:rPr>
              <w:tab/>
            </w:r>
            <w:r w:rsidRPr="0062349A" w:rsidR="00135614">
              <w:rPr>
                <w:rStyle w:val="Hyperlink"/>
                <w:noProof/>
              </w:rPr>
              <w:t>JSE advertising</w:t>
            </w:r>
            <w:r w:rsidRPr="0062349A" w:rsidR="00135614">
              <w:rPr>
                <w:rStyle w:val="Hyperlink"/>
                <w:noProof/>
                <w:spacing w:val="-1"/>
              </w:rPr>
              <w:t xml:space="preserve"> </w:t>
            </w:r>
            <w:r w:rsidRPr="0062349A" w:rsidR="00135614">
              <w:rPr>
                <w:rStyle w:val="Hyperlink"/>
                <w:noProof/>
              </w:rPr>
              <w:t>period</w:t>
            </w:r>
            <w:r w:rsidR="00135614">
              <w:rPr>
                <w:noProof/>
                <w:webHidden/>
              </w:rPr>
              <w:tab/>
            </w:r>
            <w:r w:rsidR="00135614">
              <w:rPr>
                <w:noProof/>
                <w:webHidden/>
              </w:rPr>
              <w:fldChar w:fldCharType="begin"/>
            </w:r>
            <w:r w:rsidR="00135614">
              <w:rPr>
                <w:noProof/>
                <w:webHidden/>
              </w:rPr>
              <w:instrText xml:space="preserve"> PAGEREF _Toc122516990 \h </w:instrText>
            </w:r>
            <w:r w:rsidR="00135614">
              <w:rPr>
                <w:noProof/>
                <w:webHidden/>
              </w:rPr>
            </w:r>
            <w:r w:rsidR="00135614">
              <w:rPr>
                <w:noProof/>
                <w:webHidden/>
              </w:rPr>
              <w:fldChar w:fldCharType="separate"/>
            </w:r>
            <w:r w:rsidR="00135614">
              <w:rPr>
                <w:noProof/>
                <w:webHidden/>
              </w:rPr>
              <w:t>3</w:t>
            </w:r>
            <w:r w:rsidR="00135614">
              <w:rPr>
                <w:noProof/>
                <w:webHidden/>
              </w:rPr>
              <w:fldChar w:fldCharType="end"/>
            </w:r>
          </w:hyperlink>
        </w:p>
        <w:p w:rsidR="00135614" w:rsidRDefault="006623D2" w14:paraId="22A40AF2" w14:textId="011B53E8">
          <w:pPr>
            <w:pStyle w:val="TOC2"/>
            <w:rPr>
              <w:rFonts w:asciiTheme="minorHAnsi" w:hAnsiTheme="minorHAnsi" w:eastAsiaTheme="minorEastAsia" w:cstheme="minorBidi"/>
              <w:noProof/>
              <w:lang w:val="en-AU" w:eastAsia="en-AU"/>
            </w:rPr>
          </w:pPr>
          <w:hyperlink w:history="1" w:anchor="_Toc122516991">
            <w:r w:rsidRPr="0062349A" w:rsidR="00135614">
              <w:rPr>
                <w:rStyle w:val="Hyperlink"/>
                <w:noProof/>
                <w:w w:val="99"/>
              </w:rPr>
              <w:t>2.3.</w:t>
            </w:r>
            <w:r w:rsidR="00135614">
              <w:rPr>
                <w:rFonts w:asciiTheme="minorHAnsi" w:hAnsiTheme="minorHAnsi" w:eastAsiaTheme="minorEastAsia" w:cstheme="minorBidi"/>
                <w:noProof/>
                <w:lang w:val="en-AU" w:eastAsia="en-AU"/>
              </w:rPr>
              <w:tab/>
            </w:r>
            <w:r w:rsidRPr="0062349A" w:rsidR="00135614">
              <w:rPr>
                <w:rStyle w:val="Hyperlink"/>
                <w:noProof/>
              </w:rPr>
              <w:t>Robust and fit for purpose assessment of</w:t>
            </w:r>
            <w:r w:rsidRPr="0062349A" w:rsidR="00135614">
              <w:rPr>
                <w:rStyle w:val="Hyperlink"/>
                <w:noProof/>
                <w:spacing w:val="-3"/>
              </w:rPr>
              <w:t xml:space="preserve"> </w:t>
            </w:r>
            <w:r w:rsidRPr="0062349A" w:rsidR="00135614">
              <w:rPr>
                <w:rStyle w:val="Hyperlink"/>
                <w:noProof/>
              </w:rPr>
              <w:t>candidates</w:t>
            </w:r>
            <w:r w:rsidR="00135614">
              <w:rPr>
                <w:noProof/>
                <w:webHidden/>
              </w:rPr>
              <w:tab/>
            </w:r>
            <w:r w:rsidR="00135614">
              <w:rPr>
                <w:noProof/>
                <w:webHidden/>
              </w:rPr>
              <w:fldChar w:fldCharType="begin"/>
            </w:r>
            <w:r w:rsidR="00135614">
              <w:rPr>
                <w:noProof/>
                <w:webHidden/>
              </w:rPr>
              <w:instrText xml:space="preserve"> PAGEREF _Toc122516991 \h </w:instrText>
            </w:r>
            <w:r w:rsidR="00135614">
              <w:rPr>
                <w:noProof/>
                <w:webHidden/>
              </w:rPr>
            </w:r>
            <w:r w:rsidR="00135614">
              <w:rPr>
                <w:noProof/>
                <w:webHidden/>
              </w:rPr>
              <w:fldChar w:fldCharType="separate"/>
            </w:r>
            <w:r w:rsidR="00135614">
              <w:rPr>
                <w:noProof/>
                <w:webHidden/>
              </w:rPr>
              <w:t>4</w:t>
            </w:r>
            <w:r w:rsidR="00135614">
              <w:rPr>
                <w:noProof/>
                <w:webHidden/>
              </w:rPr>
              <w:fldChar w:fldCharType="end"/>
            </w:r>
          </w:hyperlink>
        </w:p>
        <w:p w:rsidR="00135614" w:rsidRDefault="006623D2" w14:paraId="0A449C8A" w14:textId="35408546">
          <w:pPr>
            <w:pStyle w:val="TOC2"/>
            <w:rPr>
              <w:rFonts w:asciiTheme="minorHAnsi" w:hAnsiTheme="minorHAnsi" w:eastAsiaTheme="minorEastAsia" w:cstheme="minorBidi"/>
              <w:noProof/>
              <w:lang w:val="en-AU" w:eastAsia="en-AU"/>
            </w:rPr>
          </w:pPr>
          <w:hyperlink w:history="1" w:anchor="_Toc122516992">
            <w:r w:rsidRPr="0062349A" w:rsidR="00135614">
              <w:rPr>
                <w:rStyle w:val="Hyperlink"/>
                <w:noProof/>
                <w:w w:val="99"/>
              </w:rPr>
              <w:t>2.4</w:t>
            </w:r>
            <w:r w:rsidR="00135614">
              <w:rPr>
                <w:rFonts w:asciiTheme="minorHAnsi" w:hAnsiTheme="minorHAnsi" w:eastAsiaTheme="minorEastAsia" w:cstheme="minorBidi"/>
                <w:noProof/>
                <w:lang w:val="en-AU" w:eastAsia="en-AU"/>
              </w:rPr>
              <w:tab/>
            </w:r>
            <w:r w:rsidRPr="0062349A" w:rsidR="00135614">
              <w:rPr>
                <w:rStyle w:val="Hyperlink"/>
                <w:noProof/>
              </w:rPr>
              <w:t>Approval for external advertisement in parallel with the</w:t>
            </w:r>
            <w:r w:rsidRPr="0062349A" w:rsidR="00135614">
              <w:rPr>
                <w:rStyle w:val="Hyperlink"/>
                <w:noProof/>
                <w:spacing w:val="-3"/>
              </w:rPr>
              <w:t xml:space="preserve"> </w:t>
            </w:r>
            <w:r w:rsidRPr="0062349A" w:rsidR="00135614">
              <w:rPr>
                <w:rStyle w:val="Hyperlink"/>
                <w:noProof/>
              </w:rPr>
              <w:t>JSE</w:t>
            </w:r>
            <w:r w:rsidR="00135614">
              <w:rPr>
                <w:noProof/>
                <w:webHidden/>
              </w:rPr>
              <w:tab/>
            </w:r>
            <w:r w:rsidR="00135614">
              <w:rPr>
                <w:noProof/>
                <w:webHidden/>
              </w:rPr>
              <w:fldChar w:fldCharType="begin"/>
            </w:r>
            <w:r w:rsidR="00135614">
              <w:rPr>
                <w:noProof/>
                <w:webHidden/>
              </w:rPr>
              <w:instrText xml:space="preserve"> PAGEREF _Toc122516992 \h </w:instrText>
            </w:r>
            <w:r w:rsidR="00135614">
              <w:rPr>
                <w:noProof/>
                <w:webHidden/>
              </w:rPr>
            </w:r>
            <w:r w:rsidR="00135614">
              <w:rPr>
                <w:noProof/>
                <w:webHidden/>
              </w:rPr>
              <w:fldChar w:fldCharType="separate"/>
            </w:r>
            <w:r w:rsidR="00135614">
              <w:rPr>
                <w:noProof/>
                <w:webHidden/>
              </w:rPr>
              <w:t>5</w:t>
            </w:r>
            <w:r w:rsidR="00135614">
              <w:rPr>
                <w:noProof/>
                <w:webHidden/>
              </w:rPr>
              <w:fldChar w:fldCharType="end"/>
            </w:r>
          </w:hyperlink>
        </w:p>
        <w:p w:rsidR="00135614" w:rsidRDefault="006623D2" w14:paraId="05361D92" w14:textId="6B5DF067">
          <w:pPr>
            <w:pStyle w:val="TOC2"/>
            <w:rPr>
              <w:rFonts w:asciiTheme="minorHAnsi" w:hAnsiTheme="minorHAnsi" w:eastAsiaTheme="minorEastAsia" w:cstheme="minorBidi"/>
              <w:noProof/>
              <w:lang w:val="en-AU" w:eastAsia="en-AU"/>
            </w:rPr>
          </w:pPr>
          <w:hyperlink w:history="1" w:anchor="_Toc122516993">
            <w:r w:rsidRPr="0062349A" w:rsidR="00135614">
              <w:rPr>
                <w:rStyle w:val="Hyperlink"/>
                <w:noProof/>
                <w:w w:val="99"/>
              </w:rPr>
              <w:t>2.5</w:t>
            </w:r>
            <w:r w:rsidR="00135614">
              <w:rPr>
                <w:rFonts w:asciiTheme="minorHAnsi" w:hAnsiTheme="minorHAnsi" w:eastAsiaTheme="minorEastAsia" w:cstheme="minorBidi"/>
                <w:noProof/>
                <w:lang w:val="en-AU" w:eastAsia="en-AU"/>
              </w:rPr>
              <w:tab/>
            </w:r>
            <w:r w:rsidRPr="0062349A" w:rsidR="00135614">
              <w:rPr>
                <w:rStyle w:val="Hyperlink"/>
                <w:noProof/>
              </w:rPr>
              <w:t>JSE access and eligibility</w:t>
            </w:r>
            <w:r w:rsidR="00135614">
              <w:rPr>
                <w:noProof/>
                <w:webHidden/>
              </w:rPr>
              <w:tab/>
            </w:r>
            <w:r w:rsidR="00135614">
              <w:rPr>
                <w:noProof/>
                <w:webHidden/>
              </w:rPr>
              <w:fldChar w:fldCharType="begin"/>
            </w:r>
            <w:r w:rsidR="00135614">
              <w:rPr>
                <w:noProof/>
                <w:webHidden/>
              </w:rPr>
              <w:instrText xml:space="preserve"> PAGEREF _Toc122516993 \h </w:instrText>
            </w:r>
            <w:r w:rsidR="00135614">
              <w:rPr>
                <w:noProof/>
                <w:webHidden/>
              </w:rPr>
            </w:r>
            <w:r w:rsidR="00135614">
              <w:rPr>
                <w:noProof/>
                <w:webHidden/>
              </w:rPr>
              <w:fldChar w:fldCharType="separate"/>
            </w:r>
            <w:r w:rsidR="00135614">
              <w:rPr>
                <w:noProof/>
                <w:webHidden/>
              </w:rPr>
              <w:t>6</w:t>
            </w:r>
            <w:r w:rsidR="00135614">
              <w:rPr>
                <w:noProof/>
                <w:webHidden/>
              </w:rPr>
              <w:fldChar w:fldCharType="end"/>
            </w:r>
          </w:hyperlink>
        </w:p>
        <w:p w:rsidR="00135614" w:rsidRDefault="006623D2" w14:paraId="08192FCD" w14:textId="7AA52836">
          <w:pPr>
            <w:pStyle w:val="TOC2"/>
            <w:rPr>
              <w:rFonts w:asciiTheme="minorHAnsi" w:hAnsiTheme="minorHAnsi" w:eastAsiaTheme="minorEastAsia" w:cstheme="minorBidi"/>
              <w:noProof/>
              <w:lang w:val="en-AU" w:eastAsia="en-AU"/>
            </w:rPr>
          </w:pPr>
          <w:hyperlink w:history="1" w:anchor="_Toc122516994">
            <w:r w:rsidRPr="0062349A" w:rsidR="00135614">
              <w:rPr>
                <w:rStyle w:val="Hyperlink"/>
                <w:noProof/>
                <w:w w:val="99"/>
              </w:rPr>
              <w:t>2.6</w:t>
            </w:r>
            <w:r w:rsidR="00135614">
              <w:rPr>
                <w:rFonts w:asciiTheme="minorHAnsi" w:hAnsiTheme="minorHAnsi" w:eastAsiaTheme="minorEastAsia" w:cstheme="minorBidi"/>
                <w:noProof/>
                <w:lang w:val="en-AU" w:eastAsia="en-AU"/>
              </w:rPr>
              <w:tab/>
            </w:r>
            <w:r w:rsidRPr="0062349A" w:rsidR="00135614">
              <w:rPr>
                <w:rStyle w:val="Hyperlink"/>
                <w:noProof/>
              </w:rPr>
              <w:t>Reporting</w:t>
            </w:r>
            <w:r w:rsidR="00135614">
              <w:rPr>
                <w:noProof/>
                <w:webHidden/>
              </w:rPr>
              <w:tab/>
            </w:r>
            <w:r w:rsidR="00135614">
              <w:rPr>
                <w:noProof/>
                <w:webHidden/>
              </w:rPr>
              <w:fldChar w:fldCharType="begin"/>
            </w:r>
            <w:r w:rsidR="00135614">
              <w:rPr>
                <w:noProof/>
                <w:webHidden/>
              </w:rPr>
              <w:instrText xml:space="preserve"> PAGEREF _Toc122516994 \h </w:instrText>
            </w:r>
            <w:r w:rsidR="00135614">
              <w:rPr>
                <w:noProof/>
                <w:webHidden/>
              </w:rPr>
            </w:r>
            <w:r w:rsidR="00135614">
              <w:rPr>
                <w:noProof/>
                <w:webHidden/>
              </w:rPr>
              <w:fldChar w:fldCharType="separate"/>
            </w:r>
            <w:r w:rsidR="00135614">
              <w:rPr>
                <w:noProof/>
                <w:webHidden/>
              </w:rPr>
              <w:t>7</w:t>
            </w:r>
            <w:r w:rsidR="00135614">
              <w:rPr>
                <w:noProof/>
                <w:webHidden/>
              </w:rPr>
              <w:fldChar w:fldCharType="end"/>
            </w:r>
          </w:hyperlink>
        </w:p>
        <w:p w:rsidR="00135614" w:rsidRDefault="006623D2" w14:paraId="494B8312" w14:textId="4BB48764">
          <w:pPr>
            <w:pStyle w:val="TOC2"/>
            <w:rPr>
              <w:rFonts w:asciiTheme="minorHAnsi" w:hAnsiTheme="minorHAnsi" w:eastAsiaTheme="minorEastAsia" w:cstheme="minorBidi"/>
              <w:noProof/>
              <w:lang w:val="en-AU" w:eastAsia="en-AU"/>
            </w:rPr>
          </w:pPr>
          <w:hyperlink w:history="1" w:anchor="_Toc122516995">
            <w:r w:rsidRPr="0062349A" w:rsidR="00135614">
              <w:rPr>
                <w:rStyle w:val="Hyperlink"/>
                <w:noProof/>
                <w:w w:val="99"/>
              </w:rPr>
              <w:t>2.7</w:t>
            </w:r>
            <w:r w:rsidR="00135614">
              <w:rPr>
                <w:rFonts w:asciiTheme="minorHAnsi" w:hAnsiTheme="minorHAnsi" w:eastAsiaTheme="minorEastAsia" w:cstheme="minorBidi"/>
                <w:noProof/>
                <w:lang w:val="en-AU" w:eastAsia="en-AU"/>
              </w:rPr>
              <w:tab/>
            </w:r>
            <w:r w:rsidRPr="0062349A" w:rsidR="00135614">
              <w:rPr>
                <w:rStyle w:val="Hyperlink"/>
                <w:noProof/>
              </w:rPr>
              <w:t>Communicating the JSE Policy</w:t>
            </w:r>
            <w:r w:rsidR="00135614">
              <w:rPr>
                <w:noProof/>
                <w:webHidden/>
              </w:rPr>
              <w:tab/>
            </w:r>
            <w:r w:rsidR="00135614">
              <w:rPr>
                <w:noProof/>
                <w:webHidden/>
              </w:rPr>
              <w:fldChar w:fldCharType="begin"/>
            </w:r>
            <w:r w:rsidR="00135614">
              <w:rPr>
                <w:noProof/>
                <w:webHidden/>
              </w:rPr>
              <w:instrText xml:space="preserve"> PAGEREF _Toc122516995 \h </w:instrText>
            </w:r>
            <w:r w:rsidR="00135614">
              <w:rPr>
                <w:noProof/>
                <w:webHidden/>
              </w:rPr>
            </w:r>
            <w:r w:rsidR="00135614">
              <w:rPr>
                <w:noProof/>
                <w:webHidden/>
              </w:rPr>
              <w:fldChar w:fldCharType="separate"/>
            </w:r>
            <w:r w:rsidR="00135614">
              <w:rPr>
                <w:noProof/>
                <w:webHidden/>
              </w:rPr>
              <w:t>7</w:t>
            </w:r>
            <w:r w:rsidR="00135614">
              <w:rPr>
                <w:noProof/>
                <w:webHidden/>
              </w:rPr>
              <w:fldChar w:fldCharType="end"/>
            </w:r>
          </w:hyperlink>
        </w:p>
        <w:p w:rsidR="00135614" w:rsidRDefault="006623D2" w14:paraId="70F01AD5" w14:textId="2368A825">
          <w:pPr>
            <w:pStyle w:val="TOC2"/>
            <w:rPr>
              <w:rFonts w:asciiTheme="minorHAnsi" w:hAnsiTheme="minorHAnsi" w:eastAsiaTheme="minorEastAsia" w:cstheme="minorBidi"/>
              <w:noProof/>
              <w:lang w:val="en-AU" w:eastAsia="en-AU"/>
            </w:rPr>
          </w:pPr>
          <w:hyperlink w:history="1" w:anchor="_Toc122516996">
            <w:r w:rsidRPr="0062349A" w:rsidR="00135614">
              <w:rPr>
                <w:rStyle w:val="Hyperlink"/>
                <w:noProof/>
                <w:w w:val="99"/>
              </w:rPr>
              <w:t>2.8</w:t>
            </w:r>
            <w:r w:rsidR="00135614">
              <w:rPr>
                <w:rFonts w:asciiTheme="minorHAnsi" w:hAnsiTheme="minorHAnsi" w:eastAsiaTheme="minorEastAsia" w:cstheme="minorBidi"/>
                <w:noProof/>
                <w:lang w:val="en-AU" w:eastAsia="en-AU"/>
              </w:rPr>
              <w:tab/>
            </w:r>
            <w:r w:rsidRPr="0062349A" w:rsidR="00135614">
              <w:rPr>
                <w:rStyle w:val="Hyperlink"/>
                <w:noProof/>
              </w:rPr>
              <w:t>Commencement</w:t>
            </w:r>
            <w:r w:rsidRPr="0062349A" w:rsidR="00135614">
              <w:rPr>
                <w:rStyle w:val="Hyperlink"/>
                <w:noProof/>
                <w:spacing w:val="-1"/>
              </w:rPr>
              <w:t xml:space="preserve"> </w:t>
            </w:r>
            <w:r w:rsidRPr="0062349A" w:rsidR="00135614">
              <w:rPr>
                <w:rStyle w:val="Hyperlink"/>
                <w:noProof/>
              </w:rPr>
              <w:t>date</w:t>
            </w:r>
            <w:r w:rsidR="00135614">
              <w:rPr>
                <w:noProof/>
                <w:webHidden/>
              </w:rPr>
              <w:tab/>
            </w:r>
            <w:r w:rsidR="00135614">
              <w:rPr>
                <w:noProof/>
                <w:webHidden/>
              </w:rPr>
              <w:fldChar w:fldCharType="begin"/>
            </w:r>
            <w:r w:rsidR="00135614">
              <w:rPr>
                <w:noProof/>
                <w:webHidden/>
              </w:rPr>
              <w:instrText xml:space="preserve"> PAGEREF _Toc122516996 \h </w:instrText>
            </w:r>
            <w:r w:rsidR="00135614">
              <w:rPr>
                <w:noProof/>
                <w:webHidden/>
              </w:rPr>
            </w:r>
            <w:r w:rsidR="00135614">
              <w:rPr>
                <w:noProof/>
                <w:webHidden/>
              </w:rPr>
              <w:fldChar w:fldCharType="separate"/>
            </w:r>
            <w:r w:rsidR="00135614">
              <w:rPr>
                <w:noProof/>
                <w:webHidden/>
              </w:rPr>
              <w:t>7</w:t>
            </w:r>
            <w:r w:rsidR="00135614">
              <w:rPr>
                <w:noProof/>
                <w:webHidden/>
              </w:rPr>
              <w:fldChar w:fldCharType="end"/>
            </w:r>
          </w:hyperlink>
        </w:p>
        <w:p w:rsidR="00135614" w:rsidRDefault="006623D2" w14:paraId="464260A7" w14:textId="4FAE3860">
          <w:pPr>
            <w:pStyle w:val="TOC1"/>
            <w:rPr>
              <w:rFonts w:asciiTheme="minorHAnsi" w:hAnsiTheme="minorHAnsi" w:eastAsiaTheme="minorEastAsia" w:cstheme="minorBidi"/>
              <w:noProof/>
              <w:lang w:val="en-AU" w:eastAsia="en-AU"/>
            </w:rPr>
          </w:pPr>
          <w:hyperlink w:history="1" w:anchor="_Toc122516997">
            <w:r w:rsidRPr="0062349A" w:rsidR="00135614">
              <w:rPr>
                <w:rStyle w:val="Hyperlink"/>
                <w:b/>
                <w:noProof/>
              </w:rPr>
              <w:t>Section 3 - Context / Related Policies / Further Notes</w:t>
            </w:r>
            <w:r w:rsidR="00135614">
              <w:rPr>
                <w:noProof/>
                <w:webHidden/>
              </w:rPr>
              <w:tab/>
            </w:r>
            <w:r w:rsidR="00135614">
              <w:rPr>
                <w:noProof/>
                <w:webHidden/>
              </w:rPr>
              <w:fldChar w:fldCharType="begin"/>
            </w:r>
            <w:r w:rsidR="00135614">
              <w:rPr>
                <w:noProof/>
                <w:webHidden/>
              </w:rPr>
              <w:instrText xml:space="preserve"> PAGEREF _Toc122516997 \h </w:instrText>
            </w:r>
            <w:r w:rsidR="00135614">
              <w:rPr>
                <w:noProof/>
                <w:webHidden/>
              </w:rPr>
            </w:r>
            <w:r w:rsidR="00135614">
              <w:rPr>
                <w:noProof/>
                <w:webHidden/>
              </w:rPr>
              <w:fldChar w:fldCharType="separate"/>
            </w:r>
            <w:r w:rsidR="00135614">
              <w:rPr>
                <w:noProof/>
                <w:webHidden/>
              </w:rPr>
              <w:t>7</w:t>
            </w:r>
            <w:r w:rsidR="00135614">
              <w:rPr>
                <w:noProof/>
                <w:webHidden/>
              </w:rPr>
              <w:fldChar w:fldCharType="end"/>
            </w:r>
          </w:hyperlink>
        </w:p>
        <w:p w:rsidR="00135614" w:rsidRDefault="006623D2" w14:paraId="7B82C97F" w14:textId="0DD0369D">
          <w:pPr>
            <w:pStyle w:val="TOC1"/>
            <w:rPr>
              <w:rFonts w:asciiTheme="minorHAnsi" w:hAnsiTheme="minorHAnsi" w:eastAsiaTheme="minorEastAsia" w:cstheme="minorBidi"/>
              <w:noProof/>
              <w:lang w:val="en-AU" w:eastAsia="en-AU"/>
            </w:rPr>
          </w:pPr>
          <w:hyperlink w:history="1" w:anchor="_Toc122516998">
            <w:r w:rsidRPr="0062349A" w:rsidR="00135614">
              <w:rPr>
                <w:rStyle w:val="Hyperlink"/>
                <w:b/>
                <w:noProof/>
              </w:rPr>
              <w:t>Appendix A – JSE jobs board eligibility</w:t>
            </w:r>
            <w:r w:rsidR="00135614">
              <w:rPr>
                <w:noProof/>
                <w:webHidden/>
              </w:rPr>
              <w:tab/>
            </w:r>
            <w:r w:rsidR="00135614">
              <w:rPr>
                <w:noProof/>
                <w:webHidden/>
              </w:rPr>
              <w:fldChar w:fldCharType="begin"/>
            </w:r>
            <w:r w:rsidR="00135614">
              <w:rPr>
                <w:noProof/>
                <w:webHidden/>
              </w:rPr>
              <w:instrText xml:space="preserve"> PAGEREF _Toc122516998 \h </w:instrText>
            </w:r>
            <w:r w:rsidR="00135614">
              <w:rPr>
                <w:noProof/>
                <w:webHidden/>
              </w:rPr>
            </w:r>
            <w:r w:rsidR="00135614">
              <w:rPr>
                <w:noProof/>
                <w:webHidden/>
              </w:rPr>
              <w:fldChar w:fldCharType="separate"/>
            </w:r>
            <w:r w:rsidR="00135614">
              <w:rPr>
                <w:noProof/>
                <w:webHidden/>
              </w:rPr>
              <w:t>8</w:t>
            </w:r>
            <w:r w:rsidR="00135614">
              <w:rPr>
                <w:noProof/>
                <w:webHidden/>
              </w:rPr>
              <w:fldChar w:fldCharType="end"/>
            </w:r>
          </w:hyperlink>
        </w:p>
        <w:p w:rsidR="00135614" w:rsidRDefault="006623D2" w14:paraId="6378FD61" w14:textId="712A14A8">
          <w:pPr>
            <w:pStyle w:val="TOC1"/>
            <w:rPr>
              <w:rFonts w:asciiTheme="minorHAnsi" w:hAnsiTheme="minorHAnsi" w:eastAsiaTheme="minorEastAsia" w:cstheme="minorBidi"/>
              <w:noProof/>
              <w:lang w:val="en-AU" w:eastAsia="en-AU"/>
            </w:rPr>
          </w:pPr>
          <w:hyperlink w:history="1" w:anchor="_Toc122516999">
            <w:r w:rsidRPr="0062349A" w:rsidR="00135614">
              <w:rPr>
                <w:rStyle w:val="Hyperlink"/>
                <w:b/>
                <w:noProof/>
              </w:rPr>
              <w:t>Appendix B – Organisations significantly affected by workforce change</w:t>
            </w:r>
            <w:r w:rsidR="00135614">
              <w:rPr>
                <w:noProof/>
                <w:webHidden/>
              </w:rPr>
              <w:tab/>
            </w:r>
            <w:r w:rsidR="00135614">
              <w:rPr>
                <w:noProof/>
                <w:webHidden/>
              </w:rPr>
              <w:fldChar w:fldCharType="begin"/>
            </w:r>
            <w:r w:rsidR="00135614">
              <w:rPr>
                <w:noProof/>
                <w:webHidden/>
              </w:rPr>
              <w:instrText xml:space="preserve"> PAGEREF _Toc122516999 \h </w:instrText>
            </w:r>
            <w:r w:rsidR="00135614">
              <w:rPr>
                <w:noProof/>
                <w:webHidden/>
              </w:rPr>
            </w:r>
            <w:r w:rsidR="00135614">
              <w:rPr>
                <w:noProof/>
                <w:webHidden/>
              </w:rPr>
              <w:fldChar w:fldCharType="separate"/>
            </w:r>
            <w:r w:rsidR="00135614">
              <w:rPr>
                <w:noProof/>
                <w:webHidden/>
              </w:rPr>
              <w:t>9</w:t>
            </w:r>
            <w:r w:rsidR="00135614">
              <w:rPr>
                <w:noProof/>
                <w:webHidden/>
              </w:rPr>
              <w:fldChar w:fldCharType="end"/>
            </w:r>
          </w:hyperlink>
        </w:p>
        <w:p w:rsidR="00135614" w:rsidRDefault="006623D2" w14:paraId="339D4FFA" w14:textId="332ACFFC">
          <w:pPr>
            <w:pStyle w:val="TOC2"/>
            <w:rPr>
              <w:rFonts w:asciiTheme="minorHAnsi" w:hAnsiTheme="minorHAnsi" w:eastAsiaTheme="minorEastAsia" w:cstheme="minorBidi"/>
              <w:noProof/>
              <w:lang w:val="en-AU" w:eastAsia="en-AU"/>
            </w:rPr>
          </w:pPr>
          <w:hyperlink w:history="1" w:anchor="_Toc122517000">
            <w:r w:rsidRPr="0062349A" w:rsidR="00135614">
              <w:rPr>
                <w:rStyle w:val="Hyperlink"/>
                <w:noProof/>
              </w:rPr>
              <w:t>Endorsement</w:t>
            </w:r>
            <w:r w:rsidR="00135614">
              <w:rPr>
                <w:noProof/>
                <w:webHidden/>
              </w:rPr>
              <w:tab/>
            </w:r>
            <w:r w:rsidR="00135614">
              <w:rPr>
                <w:noProof/>
                <w:webHidden/>
              </w:rPr>
              <w:fldChar w:fldCharType="begin"/>
            </w:r>
            <w:r w:rsidR="00135614">
              <w:rPr>
                <w:noProof/>
                <w:webHidden/>
              </w:rPr>
              <w:instrText xml:space="preserve"> PAGEREF _Toc122517000 \h </w:instrText>
            </w:r>
            <w:r w:rsidR="00135614">
              <w:rPr>
                <w:noProof/>
                <w:webHidden/>
              </w:rPr>
            </w:r>
            <w:r w:rsidR="00135614">
              <w:rPr>
                <w:noProof/>
                <w:webHidden/>
              </w:rPr>
              <w:fldChar w:fldCharType="separate"/>
            </w:r>
            <w:r w:rsidR="00135614">
              <w:rPr>
                <w:noProof/>
                <w:webHidden/>
              </w:rPr>
              <w:t>10</w:t>
            </w:r>
            <w:r w:rsidR="00135614">
              <w:rPr>
                <w:noProof/>
                <w:webHidden/>
              </w:rPr>
              <w:fldChar w:fldCharType="end"/>
            </w:r>
          </w:hyperlink>
        </w:p>
        <w:p w:rsidR="00135614" w:rsidRDefault="006623D2" w14:paraId="3511E637" w14:textId="64246A0D">
          <w:pPr>
            <w:pStyle w:val="TOC2"/>
            <w:rPr>
              <w:rFonts w:asciiTheme="minorHAnsi" w:hAnsiTheme="minorHAnsi" w:eastAsiaTheme="minorEastAsia" w:cstheme="minorBidi"/>
              <w:noProof/>
              <w:lang w:val="en-AU" w:eastAsia="en-AU"/>
            </w:rPr>
          </w:pPr>
          <w:hyperlink w:history="1" w:anchor="_Toc122517001">
            <w:r w:rsidRPr="0062349A" w:rsidR="00135614">
              <w:rPr>
                <w:rStyle w:val="Hyperlink"/>
                <w:noProof/>
              </w:rPr>
              <w:t>Document Version</w:t>
            </w:r>
            <w:r w:rsidR="00135614">
              <w:rPr>
                <w:noProof/>
                <w:webHidden/>
              </w:rPr>
              <w:tab/>
            </w:r>
            <w:r w:rsidR="00135614">
              <w:rPr>
                <w:noProof/>
                <w:webHidden/>
              </w:rPr>
              <w:fldChar w:fldCharType="begin"/>
            </w:r>
            <w:r w:rsidR="00135614">
              <w:rPr>
                <w:noProof/>
                <w:webHidden/>
              </w:rPr>
              <w:instrText xml:space="preserve"> PAGEREF _Toc122517001 \h </w:instrText>
            </w:r>
            <w:r w:rsidR="00135614">
              <w:rPr>
                <w:noProof/>
                <w:webHidden/>
              </w:rPr>
            </w:r>
            <w:r w:rsidR="00135614">
              <w:rPr>
                <w:noProof/>
                <w:webHidden/>
              </w:rPr>
              <w:fldChar w:fldCharType="separate"/>
            </w:r>
            <w:r w:rsidR="00135614">
              <w:rPr>
                <w:noProof/>
                <w:webHidden/>
              </w:rPr>
              <w:t>10</w:t>
            </w:r>
            <w:r w:rsidR="00135614">
              <w:rPr>
                <w:noProof/>
                <w:webHidden/>
              </w:rPr>
              <w:fldChar w:fldCharType="end"/>
            </w:r>
          </w:hyperlink>
        </w:p>
        <w:p w:rsidR="0053231B" w:rsidP="00B96FE3" w:rsidRDefault="0053231B" w14:paraId="6A323823" w14:textId="68D462B9">
          <w:pPr>
            <w:tabs>
              <w:tab w:val="right" w:leader="dot" w:pos="7797"/>
            </w:tabs>
            <w:ind w:right="283"/>
          </w:pPr>
          <w:r>
            <w:rPr>
              <w:b/>
              <w:bCs/>
              <w:noProof/>
            </w:rPr>
            <w:fldChar w:fldCharType="end"/>
          </w:r>
        </w:p>
      </w:sdtContent>
    </w:sdt>
    <w:p w:rsidR="0053231B" w:rsidP="00D44E3E" w:rsidRDefault="0053231B" w14:paraId="5C64FC3A" w14:textId="77777777">
      <w:pPr>
        <w:pStyle w:val="ListParagraph"/>
        <w:spacing w:before="0" w:line="242" w:lineRule="auto"/>
        <w:ind w:left="1144" w:right="1026" w:firstLine="0"/>
      </w:pPr>
    </w:p>
    <w:p w:rsidR="00266898" w:rsidP="00D44E3E" w:rsidRDefault="00266898" w14:paraId="56A2E087" w14:textId="77777777">
      <w:pPr>
        <w:pStyle w:val="ListParagraph"/>
        <w:spacing w:before="0" w:line="242" w:lineRule="auto"/>
        <w:ind w:left="1144" w:right="1026" w:firstLine="0"/>
        <w:sectPr w:rsidR="00266898" w:rsidSect="00DA5A74">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0" w:h="16840" w:orient="portrait"/>
          <w:pgMar w:top="1135" w:right="1127" w:bottom="1418" w:left="1985" w:header="19" w:footer="956" w:gutter="0"/>
          <w:cols w:space="720"/>
        </w:sectPr>
      </w:pPr>
    </w:p>
    <w:p w:rsidRPr="0039739D" w:rsidR="00300BE4" w:rsidP="00D502B2" w:rsidRDefault="00CB2D8A" w14:paraId="5EEBA751" w14:textId="77777777">
      <w:pPr>
        <w:pStyle w:val="Heading1"/>
        <w:spacing w:before="240"/>
        <w:ind w:left="1145"/>
        <w:rPr>
          <w:b/>
        </w:rPr>
      </w:pPr>
      <w:bookmarkStart w:name="_Toc122516987" w:id="0"/>
      <w:r w:rsidRPr="0039739D">
        <w:rPr>
          <w:b/>
          <w:color w:val="217F4B"/>
        </w:rPr>
        <w:t>Section 1 – Introduction and Purpose</w:t>
      </w:r>
      <w:bookmarkEnd w:id="0"/>
    </w:p>
    <w:p w:rsidRPr="0039739D" w:rsidR="00300BE4" w:rsidP="00A1229B" w:rsidRDefault="00CB2D8A" w14:paraId="5EEBA752" w14:textId="551115AF">
      <w:pPr>
        <w:pStyle w:val="ListParagraph"/>
        <w:keepNext/>
        <w:numPr>
          <w:ilvl w:val="0"/>
          <w:numId w:val="13"/>
        </w:numPr>
        <w:spacing w:before="240" w:line="245" w:lineRule="auto"/>
        <w:ind w:left="1701" w:right="1151" w:hanging="556"/>
      </w:pPr>
      <w:r w:rsidRPr="0039739D">
        <w:t>The Jobs and Skills Exchange (JSE) is a Victorian Government initiative established</w:t>
      </w:r>
      <w:r w:rsidRPr="0039739D">
        <w:rPr>
          <w:spacing w:val="-40"/>
        </w:rPr>
        <w:t xml:space="preserve"> </w:t>
      </w:r>
      <w:r w:rsidRPr="0039739D">
        <w:t xml:space="preserve">to enhance mobility, skills </w:t>
      </w:r>
      <w:bookmarkStart w:name="_Int_oWxs482Z" w:id="1"/>
      <w:proofErr w:type="gramStart"/>
      <w:r w:rsidRPr="0039739D">
        <w:t>development</w:t>
      </w:r>
      <w:bookmarkEnd w:id="1"/>
      <w:proofErr w:type="gramEnd"/>
      <w:r w:rsidRPr="0039739D">
        <w:t xml:space="preserve"> and career opportunities for Victorian Public Service (VPS)</w:t>
      </w:r>
      <w:r w:rsidRPr="0039739D">
        <w:rPr>
          <w:spacing w:val="-3"/>
        </w:rPr>
        <w:t xml:space="preserve"> </w:t>
      </w:r>
      <w:r w:rsidRPr="0039739D" w:rsidR="001F1EA4">
        <w:rPr>
          <w:spacing w:val="-3"/>
        </w:rPr>
        <w:t xml:space="preserve">and other eligible </w:t>
      </w:r>
      <w:r w:rsidRPr="0039739D">
        <w:t>employees.</w:t>
      </w:r>
    </w:p>
    <w:p w:rsidRPr="0039739D" w:rsidR="00300BE4" w:rsidP="00AC1935" w:rsidRDefault="00CB2D8A" w14:paraId="5EEBA753" w14:textId="163C3405">
      <w:pPr>
        <w:pStyle w:val="ListParagraph"/>
        <w:keepNext/>
        <w:numPr>
          <w:ilvl w:val="0"/>
          <w:numId w:val="13"/>
        </w:numPr>
        <w:spacing w:before="152" w:line="242" w:lineRule="auto"/>
        <w:ind w:left="1701" w:right="567" w:hanging="556"/>
      </w:pPr>
      <w:r w:rsidRPr="0039739D">
        <w:t xml:space="preserve">In 2018, the Victorian Government made an election commitment to ensure “an efficient, fair and high-quality public service”. As part of this commitment, the JSE </w:t>
      </w:r>
      <w:r w:rsidR="00586500">
        <w:t>jobs board</w:t>
      </w:r>
      <w:r w:rsidRPr="0039739D">
        <w:t xml:space="preserve"> </w:t>
      </w:r>
      <w:r w:rsidR="00586500">
        <w:t>grants</w:t>
      </w:r>
      <w:r w:rsidRPr="0039739D" w:rsidR="00586500">
        <w:t xml:space="preserve"> </w:t>
      </w:r>
      <w:r w:rsidRPr="0039739D" w:rsidR="001F1EA4">
        <w:t xml:space="preserve">eligible </w:t>
      </w:r>
      <w:r w:rsidRPr="0039739D" w:rsidR="001C3D6E">
        <w:t>employees’</w:t>
      </w:r>
      <w:r w:rsidRPr="0039739D">
        <w:t xml:space="preserve"> access </w:t>
      </w:r>
      <w:r w:rsidR="00586500">
        <w:t xml:space="preserve">to </w:t>
      </w:r>
      <w:r w:rsidRPr="0039739D">
        <w:t>VPS job</w:t>
      </w:r>
      <w:r w:rsidRPr="0039739D">
        <w:rPr>
          <w:spacing w:val="-21"/>
        </w:rPr>
        <w:t xml:space="preserve"> </w:t>
      </w:r>
      <w:r w:rsidRPr="0039739D">
        <w:t>vacancies.</w:t>
      </w:r>
    </w:p>
    <w:p w:rsidRPr="0039739D" w:rsidR="00300BE4" w:rsidP="00A1229B" w:rsidRDefault="00CB2D8A" w14:paraId="5EEBA754" w14:textId="3DCC432A">
      <w:pPr>
        <w:pStyle w:val="ListParagraph"/>
        <w:keepNext/>
        <w:numPr>
          <w:ilvl w:val="0"/>
          <w:numId w:val="13"/>
        </w:numPr>
        <w:spacing w:before="161" w:line="244" w:lineRule="auto"/>
        <w:ind w:left="1701" w:right="942" w:hanging="556"/>
      </w:pPr>
      <w:r w:rsidRPr="0039739D">
        <w:t>The JSE Recruitment Policy (</w:t>
      </w:r>
      <w:r w:rsidR="00135614">
        <w:t>JSE Policy</w:t>
      </w:r>
      <w:r w:rsidRPr="0039739D">
        <w:t xml:space="preserve">) is a key step to ensure that </w:t>
      </w:r>
      <w:r w:rsidRPr="0039739D" w:rsidR="001F1EA4">
        <w:t xml:space="preserve">eligible </w:t>
      </w:r>
      <w:bookmarkStart w:name="_Int_TNsYSVzP" w:id="2"/>
      <w:proofErr w:type="gramStart"/>
      <w:r w:rsidRPr="0039739D">
        <w:t>employees</w:t>
      </w:r>
      <w:r w:rsidRPr="0039739D">
        <w:rPr>
          <w:spacing w:val="-40"/>
        </w:rPr>
        <w:t xml:space="preserve"> </w:t>
      </w:r>
      <w:r w:rsidR="00B23995">
        <w:t xml:space="preserve"> </w:t>
      </w:r>
      <w:r w:rsidRPr="0039739D">
        <w:t>have</w:t>
      </w:r>
      <w:bookmarkEnd w:id="2"/>
      <w:proofErr w:type="gramEnd"/>
      <w:r w:rsidRPr="0039739D">
        <w:t xml:space="preserve"> visibility of, and </w:t>
      </w:r>
      <w:r w:rsidR="0063087F">
        <w:t xml:space="preserve">first </w:t>
      </w:r>
      <w:r w:rsidRPr="0039739D">
        <w:t>access to, all job opportunities across the</w:t>
      </w:r>
      <w:r w:rsidRPr="0039739D">
        <w:rPr>
          <w:spacing w:val="-18"/>
        </w:rPr>
        <w:t xml:space="preserve"> </w:t>
      </w:r>
      <w:r w:rsidRPr="0039739D">
        <w:t>VPS.</w:t>
      </w:r>
    </w:p>
    <w:p w:rsidRPr="0039739D" w:rsidR="00300BE4" w:rsidP="00A1229B" w:rsidRDefault="00CB2D8A" w14:paraId="5EEBA755" w14:textId="6039829D">
      <w:pPr>
        <w:pStyle w:val="ListParagraph"/>
        <w:keepNext/>
        <w:numPr>
          <w:ilvl w:val="0"/>
          <w:numId w:val="13"/>
        </w:numPr>
        <w:spacing w:before="158"/>
        <w:ind w:left="1701" w:hanging="556"/>
      </w:pPr>
      <w:r w:rsidRPr="0039739D">
        <w:t xml:space="preserve">Key features of </w:t>
      </w:r>
      <w:r w:rsidR="00135614">
        <w:t>the JSE Policy</w:t>
      </w:r>
      <w:r w:rsidRPr="0039739D">
        <w:rPr>
          <w:spacing w:val="-6"/>
        </w:rPr>
        <w:t xml:space="preserve"> </w:t>
      </w:r>
      <w:r w:rsidRPr="0039739D">
        <w:t>are:</w:t>
      </w:r>
    </w:p>
    <w:p w:rsidR="00E64935" w:rsidP="00187A6B" w:rsidRDefault="00E64935" w14:paraId="6048F9EE" w14:textId="2B12D5DD"/>
    <w:tbl>
      <w:tblPr>
        <w:tblStyle w:val="TableGrid"/>
        <w:tblW w:w="0" w:type="auto"/>
        <w:tblInd w:w="1809" w:type="dxa"/>
        <w:tblLook w:val="04A0" w:firstRow="1" w:lastRow="0" w:firstColumn="1" w:lastColumn="0" w:noHBand="0" w:noVBand="1"/>
      </w:tblPr>
      <w:tblGrid>
        <w:gridCol w:w="962"/>
        <w:gridCol w:w="7796"/>
      </w:tblGrid>
      <w:tr w:rsidRPr="00012202" w:rsidR="00A014B7" w:rsidTr="3CA940F4" w14:paraId="4BD77F36" w14:textId="77777777">
        <w:trPr>
          <w:tblHeader/>
        </w:trPr>
        <w:tc>
          <w:tcPr>
            <w:tcW w:w="851" w:type="dxa"/>
            <w:shd w:val="clear" w:color="auto" w:fill="DBE5F1" w:themeFill="accent1" w:themeFillTint="33"/>
          </w:tcPr>
          <w:p w:rsidRPr="00012202" w:rsidR="00A014B7" w:rsidP="00187A6B" w:rsidRDefault="00A014B7" w14:paraId="16F87D63" w14:textId="4CE9F043">
            <w:pPr>
              <w:pStyle w:val="ListParagraph"/>
              <w:widowControl/>
              <w:spacing w:before="158"/>
              <w:ind w:left="0" w:firstLine="0"/>
              <w:jc w:val="center"/>
              <w:rPr>
                <w:b/>
                <w:sz w:val="20"/>
                <w:szCs w:val="20"/>
              </w:rPr>
            </w:pPr>
            <w:r w:rsidRPr="00012202">
              <w:rPr>
                <w:b/>
                <w:sz w:val="20"/>
                <w:szCs w:val="20"/>
              </w:rPr>
              <w:t>Clause</w:t>
            </w:r>
            <w:r w:rsidRPr="00012202" w:rsidR="00134C75">
              <w:rPr>
                <w:b/>
                <w:sz w:val="20"/>
                <w:szCs w:val="20"/>
              </w:rPr>
              <w:t>(</w:t>
            </w:r>
            <w:r w:rsidRPr="00012202">
              <w:rPr>
                <w:b/>
                <w:bCs/>
                <w:sz w:val="20"/>
                <w:szCs w:val="20"/>
              </w:rPr>
              <w:t>s</w:t>
            </w:r>
            <w:r w:rsidRPr="00012202" w:rsidR="00134C75">
              <w:rPr>
                <w:b/>
                <w:bCs/>
                <w:sz w:val="20"/>
                <w:szCs w:val="20"/>
              </w:rPr>
              <w:t>)</w:t>
            </w:r>
          </w:p>
        </w:tc>
        <w:tc>
          <w:tcPr>
            <w:tcW w:w="7796" w:type="dxa"/>
            <w:shd w:val="clear" w:color="auto" w:fill="DBE5F1" w:themeFill="accent1" w:themeFillTint="33"/>
          </w:tcPr>
          <w:p w:rsidRPr="00012202" w:rsidR="00A014B7" w:rsidP="00187A6B" w:rsidRDefault="00A014B7" w14:paraId="55EEF91C" w14:textId="256149E6">
            <w:pPr>
              <w:pStyle w:val="ListParagraph"/>
              <w:widowControl/>
              <w:spacing w:before="158"/>
              <w:ind w:left="0" w:firstLine="0"/>
              <w:rPr>
                <w:b/>
                <w:sz w:val="20"/>
                <w:szCs w:val="20"/>
              </w:rPr>
            </w:pPr>
            <w:r w:rsidRPr="00012202">
              <w:rPr>
                <w:b/>
                <w:sz w:val="20"/>
                <w:szCs w:val="20"/>
              </w:rPr>
              <w:t>Key feature</w:t>
            </w:r>
          </w:p>
        </w:tc>
      </w:tr>
      <w:tr w:rsidRPr="00012202" w:rsidR="0045219E" w:rsidTr="3CA940F4" w14:paraId="0D4E0DD6" w14:textId="77777777">
        <w:tc>
          <w:tcPr>
            <w:tcW w:w="851" w:type="dxa"/>
          </w:tcPr>
          <w:p w:rsidRPr="00012202" w:rsidR="0045219E" w:rsidDel="00103611" w:rsidP="004752A2" w:rsidRDefault="004B2162" w14:paraId="0AF8A64B" w14:textId="0C69DAAC">
            <w:pPr>
              <w:pStyle w:val="ListParagraph"/>
              <w:widowControl/>
              <w:spacing w:before="158"/>
              <w:ind w:left="0" w:firstLine="0"/>
              <w:jc w:val="center"/>
              <w:rPr>
                <w:sz w:val="20"/>
                <w:szCs w:val="20"/>
              </w:rPr>
            </w:pPr>
            <w:r>
              <w:rPr>
                <w:sz w:val="20"/>
                <w:szCs w:val="20"/>
              </w:rPr>
              <w:t>8</w:t>
            </w:r>
          </w:p>
        </w:tc>
        <w:tc>
          <w:tcPr>
            <w:tcW w:w="7796" w:type="dxa"/>
          </w:tcPr>
          <w:p w:rsidRPr="00012202" w:rsidR="0045219E" w:rsidP="004752A2" w:rsidRDefault="00D74294" w14:paraId="00105308" w14:textId="23F37025">
            <w:pPr>
              <w:widowControl/>
              <w:spacing w:before="120" w:after="120" w:line="244" w:lineRule="auto"/>
              <w:rPr>
                <w:sz w:val="20"/>
                <w:szCs w:val="20"/>
              </w:rPr>
            </w:pPr>
            <w:r w:rsidRPr="00012202">
              <w:rPr>
                <w:sz w:val="20"/>
                <w:szCs w:val="20"/>
              </w:rPr>
              <w:t>T</w:t>
            </w:r>
            <w:r w:rsidRPr="00012202" w:rsidR="648032CA">
              <w:rPr>
                <w:sz w:val="20"/>
                <w:szCs w:val="20"/>
              </w:rPr>
              <w:t xml:space="preserve">emporary </w:t>
            </w:r>
            <w:r w:rsidRPr="00012202" w:rsidR="00596E05">
              <w:rPr>
                <w:sz w:val="20"/>
                <w:szCs w:val="20"/>
              </w:rPr>
              <w:t xml:space="preserve">acting opportunities </w:t>
            </w:r>
            <w:r w:rsidRPr="00012202" w:rsidR="648032CA">
              <w:rPr>
                <w:sz w:val="20"/>
                <w:szCs w:val="20"/>
              </w:rPr>
              <w:t xml:space="preserve">up to 6 months </w:t>
            </w:r>
          </w:p>
        </w:tc>
      </w:tr>
      <w:tr w:rsidRPr="00012202" w:rsidR="0045219E" w:rsidTr="3CA940F4" w14:paraId="6C10D92B" w14:textId="77777777">
        <w:tc>
          <w:tcPr>
            <w:tcW w:w="851" w:type="dxa"/>
          </w:tcPr>
          <w:p w:rsidRPr="00012202" w:rsidR="0045219E" w:rsidP="004752A2" w:rsidRDefault="00A31DA5" w14:paraId="6FE4B689" w14:textId="53F6BF24">
            <w:pPr>
              <w:pStyle w:val="ListParagraph"/>
              <w:widowControl/>
              <w:spacing w:before="158"/>
              <w:ind w:left="0" w:firstLine="0"/>
              <w:jc w:val="center"/>
              <w:rPr>
                <w:sz w:val="20"/>
                <w:szCs w:val="20"/>
              </w:rPr>
            </w:pPr>
            <w:r w:rsidRPr="00012202">
              <w:rPr>
                <w:sz w:val="20"/>
                <w:szCs w:val="20"/>
              </w:rPr>
              <w:t>1</w:t>
            </w:r>
            <w:r>
              <w:rPr>
                <w:sz w:val="20"/>
                <w:szCs w:val="20"/>
              </w:rPr>
              <w:t>1</w:t>
            </w:r>
          </w:p>
        </w:tc>
        <w:tc>
          <w:tcPr>
            <w:tcW w:w="7796" w:type="dxa"/>
          </w:tcPr>
          <w:p w:rsidRPr="00012202" w:rsidR="0045219E" w:rsidP="0045219E" w:rsidRDefault="0045219E" w14:paraId="343B9005" w14:textId="40EBFD0D">
            <w:pPr>
              <w:widowControl/>
              <w:spacing w:before="120" w:after="120" w:line="244" w:lineRule="auto"/>
              <w:rPr>
                <w:sz w:val="20"/>
                <w:szCs w:val="20"/>
              </w:rPr>
            </w:pPr>
            <w:r w:rsidRPr="00012202">
              <w:rPr>
                <w:sz w:val="20"/>
                <w:szCs w:val="20"/>
              </w:rPr>
              <w:t>Advertising jobs longer than 6 months.</w:t>
            </w:r>
          </w:p>
        </w:tc>
      </w:tr>
      <w:tr w:rsidRPr="00012202" w:rsidR="0045219E" w:rsidTr="3CA940F4" w14:paraId="08D3513F" w14:textId="77777777">
        <w:tc>
          <w:tcPr>
            <w:tcW w:w="851" w:type="dxa"/>
          </w:tcPr>
          <w:p w:rsidRPr="00012202" w:rsidR="0045219E" w:rsidP="004752A2" w:rsidRDefault="00A31DA5" w14:paraId="0E7D0419" w14:textId="3C0FACEF">
            <w:pPr>
              <w:pStyle w:val="ListParagraph"/>
              <w:widowControl/>
              <w:spacing w:before="158"/>
              <w:ind w:left="0" w:firstLine="0"/>
              <w:jc w:val="center"/>
              <w:rPr>
                <w:sz w:val="20"/>
                <w:szCs w:val="20"/>
              </w:rPr>
            </w:pPr>
            <w:r w:rsidRPr="00012202">
              <w:rPr>
                <w:sz w:val="20"/>
                <w:szCs w:val="20"/>
              </w:rPr>
              <w:t>1</w:t>
            </w:r>
            <w:r>
              <w:rPr>
                <w:sz w:val="20"/>
                <w:szCs w:val="20"/>
              </w:rPr>
              <w:t>2</w:t>
            </w:r>
          </w:p>
        </w:tc>
        <w:tc>
          <w:tcPr>
            <w:tcW w:w="7796" w:type="dxa"/>
          </w:tcPr>
          <w:p w:rsidRPr="00012202" w:rsidR="0045219E" w:rsidP="0045219E" w:rsidRDefault="0045219E" w14:paraId="6D12E475" w14:textId="68E73D66">
            <w:pPr>
              <w:widowControl/>
              <w:spacing w:before="120" w:after="120" w:line="244" w:lineRule="auto"/>
              <w:rPr>
                <w:sz w:val="20"/>
                <w:szCs w:val="20"/>
              </w:rPr>
            </w:pPr>
            <w:r w:rsidRPr="00012202">
              <w:rPr>
                <w:sz w:val="20"/>
                <w:szCs w:val="20"/>
              </w:rPr>
              <w:t>Advertising short-term opportunities up to 6 months</w:t>
            </w:r>
          </w:p>
        </w:tc>
      </w:tr>
      <w:tr w:rsidRPr="00012202" w:rsidR="0045219E" w:rsidTr="3CA940F4" w14:paraId="156F7541" w14:textId="77777777">
        <w:tc>
          <w:tcPr>
            <w:tcW w:w="851" w:type="dxa"/>
          </w:tcPr>
          <w:p w:rsidRPr="00012202" w:rsidR="0045219E" w:rsidP="004752A2" w:rsidRDefault="00A31DA5" w14:paraId="15A0C95E" w14:textId="406A1308">
            <w:pPr>
              <w:pStyle w:val="ListParagraph"/>
              <w:widowControl/>
              <w:spacing w:before="158"/>
              <w:ind w:left="0" w:firstLine="0"/>
              <w:jc w:val="center"/>
              <w:rPr>
                <w:sz w:val="20"/>
                <w:szCs w:val="20"/>
              </w:rPr>
            </w:pPr>
            <w:r w:rsidRPr="00012202">
              <w:rPr>
                <w:sz w:val="20"/>
                <w:szCs w:val="20"/>
              </w:rPr>
              <w:t>1</w:t>
            </w:r>
            <w:r>
              <w:rPr>
                <w:sz w:val="20"/>
                <w:szCs w:val="20"/>
              </w:rPr>
              <w:t>3</w:t>
            </w:r>
          </w:p>
        </w:tc>
        <w:tc>
          <w:tcPr>
            <w:tcW w:w="7796" w:type="dxa"/>
          </w:tcPr>
          <w:p w:rsidRPr="00012202" w:rsidR="0045219E" w:rsidP="0045219E" w:rsidRDefault="00F9551E" w14:paraId="5459D5E4" w14:textId="2FBDDEA2">
            <w:pPr>
              <w:widowControl/>
              <w:spacing w:before="120" w:after="120" w:line="244" w:lineRule="auto"/>
              <w:rPr>
                <w:sz w:val="20"/>
                <w:szCs w:val="20"/>
              </w:rPr>
            </w:pPr>
            <w:r w:rsidRPr="00012202">
              <w:rPr>
                <w:sz w:val="20"/>
                <w:szCs w:val="20"/>
              </w:rPr>
              <w:t>S</w:t>
            </w:r>
            <w:r w:rsidRPr="00012202" w:rsidR="0045219E">
              <w:rPr>
                <w:sz w:val="20"/>
                <w:szCs w:val="20"/>
              </w:rPr>
              <w:t>uccessful candidate resigns within 3 months</w:t>
            </w:r>
          </w:p>
        </w:tc>
      </w:tr>
      <w:tr w:rsidRPr="00012202" w:rsidR="0045219E" w:rsidTr="3CA940F4" w14:paraId="7CEF9B81" w14:textId="77777777">
        <w:tc>
          <w:tcPr>
            <w:tcW w:w="851" w:type="dxa"/>
          </w:tcPr>
          <w:p w:rsidRPr="00012202" w:rsidR="0045219E" w:rsidP="004752A2" w:rsidRDefault="00A31DA5" w14:paraId="4201604B" w14:textId="4068FB50">
            <w:pPr>
              <w:pStyle w:val="ListParagraph"/>
              <w:widowControl/>
              <w:spacing w:before="158"/>
              <w:ind w:left="0" w:firstLine="0"/>
              <w:jc w:val="center"/>
              <w:rPr>
                <w:sz w:val="20"/>
                <w:szCs w:val="20"/>
              </w:rPr>
            </w:pPr>
            <w:r w:rsidRPr="00012202">
              <w:rPr>
                <w:sz w:val="20"/>
                <w:szCs w:val="20"/>
              </w:rPr>
              <w:t>1</w:t>
            </w:r>
            <w:r>
              <w:rPr>
                <w:sz w:val="20"/>
                <w:szCs w:val="20"/>
              </w:rPr>
              <w:t>4</w:t>
            </w:r>
          </w:p>
        </w:tc>
        <w:tc>
          <w:tcPr>
            <w:tcW w:w="7796" w:type="dxa"/>
          </w:tcPr>
          <w:p w:rsidRPr="00012202" w:rsidR="0045219E" w:rsidP="0045219E" w:rsidRDefault="0045219E" w14:paraId="49D7F570" w14:textId="76B74B95">
            <w:pPr>
              <w:widowControl/>
              <w:spacing w:before="120" w:after="120" w:line="244" w:lineRule="auto"/>
              <w:rPr>
                <w:sz w:val="20"/>
                <w:szCs w:val="20"/>
              </w:rPr>
            </w:pPr>
            <w:r w:rsidRPr="00012202">
              <w:rPr>
                <w:sz w:val="20"/>
                <w:szCs w:val="20"/>
              </w:rPr>
              <w:t>Filling a new, identical vacancy from a previous recruitment process</w:t>
            </w:r>
          </w:p>
        </w:tc>
      </w:tr>
      <w:tr w:rsidRPr="00012202" w:rsidR="0045219E" w:rsidTr="3CA940F4" w14:paraId="17ECBFC7" w14:textId="77777777">
        <w:tc>
          <w:tcPr>
            <w:tcW w:w="851" w:type="dxa"/>
          </w:tcPr>
          <w:p w:rsidRPr="00012202" w:rsidR="0045219E" w:rsidP="004752A2" w:rsidRDefault="00A31DA5" w14:paraId="3BB6E99C" w14:textId="167E0B00">
            <w:pPr>
              <w:pStyle w:val="ListParagraph"/>
              <w:widowControl/>
              <w:spacing w:before="158"/>
              <w:ind w:left="0" w:firstLine="0"/>
              <w:jc w:val="center"/>
              <w:rPr>
                <w:sz w:val="20"/>
                <w:szCs w:val="20"/>
              </w:rPr>
            </w:pPr>
            <w:r w:rsidRPr="00012202">
              <w:rPr>
                <w:sz w:val="20"/>
                <w:szCs w:val="20"/>
              </w:rPr>
              <w:t>1</w:t>
            </w:r>
            <w:r>
              <w:rPr>
                <w:sz w:val="20"/>
                <w:szCs w:val="20"/>
              </w:rPr>
              <w:t>5</w:t>
            </w:r>
          </w:p>
        </w:tc>
        <w:tc>
          <w:tcPr>
            <w:tcW w:w="7796" w:type="dxa"/>
          </w:tcPr>
          <w:p w:rsidRPr="00012202" w:rsidR="0045219E" w:rsidP="0045219E" w:rsidRDefault="0045219E" w14:paraId="732CC775" w14:textId="1ABB48E2">
            <w:pPr>
              <w:widowControl/>
              <w:spacing w:before="120" w:after="120" w:line="244" w:lineRule="auto"/>
              <w:rPr>
                <w:sz w:val="20"/>
                <w:szCs w:val="20"/>
              </w:rPr>
            </w:pPr>
            <w:r w:rsidRPr="00012202">
              <w:rPr>
                <w:sz w:val="20"/>
                <w:szCs w:val="20"/>
              </w:rPr>
              <w:t>Direct appointments for new teams in urgent circumstances</w:t>
            </w:r>
          </w:p>
        </w:tc>
      </w:tr>
      <w:tr w:rsidRPr="00012202" w:rsidR="0045219E" w:rsidTr="3CA940F4" w14:paraId="179FA6CD" w14:textId="77777777">
        <w:tc>
          <w:tcPr>
            <w:tcW w:w="851" w:type="dxa"/>
          </w:tcPr>
          <w:p w:rsidRPr="00012202" w:rsidR="0045219E" w:rsidP="004752A2" w:rsidRDefault="00040F63" w14:paraId="4D6AA696" w14:textId="008373FE">
            <w:pPr>
              <w:pStyle w:val="ListParagraph"/>
              <w:widowControl/>
              <w:spacing w:before="158"/>
              <w:ind w:left="0" w:firstLine="0"/>
              <w:jc w:val="center"/>
              <w:rPr>
                <w:sz w:val="20"/>
                <w:szCs w:val="20"/>
              </w:rPr>
            </w:pPr>
            <w:r w:rsidRPr="00012202">
              <w:rPr>
                <w:sz w:val="20"/>
                <w:szCs w:val="20"/>
              </w:rPr>
              <w:t>18</w:t>
            </w:r>
          </w:p>
        </w:tc>
        <w:tc>
          <w:tcPr>
            <w:tcW w:w="7796" w:type="dxa"/>
          </w:tcPr>
          <w:p w:rsidRPr="00012202" w:rsidR="0045219E" w:rsidP="0045219E" w:rsidRDefault="0045219E" w14:paraId="0F85B5E4" w14:textId="67C4BD1A">
            <w:pPr>
              <w:pStyle w:val="ListParagraph"/>
              <w:widowControl/>
              <w:spacing w:before="120" w:after="120"/>
              <w:ind w:left="0" w:firstLine="0"/>
              <w:rPr>
                <w:sz w:val="20"/>
                <w:szCs w:val="20"/>
              </w:rPr>
            </w:pPr>
            <w:bookmarkStart w:name="_Int_MzgwnPw2" w:id="3"/>
            <w:r w:rsidRPr="3CA940F4">
              <w:rPr>
                <w:sz w:val="20"/>
                <w:szCs w:val="20"/>
              </w:rPr>
              <w:t>Prioritisation</w:t>
            </w:r>
            <w:bookmarkEnd w:id="3"/>
            <w:r w:rsidRPr="3CA940F4">
              <w:rPr>
                <w:sz w:val="20"/>
                <w:szCs w:val="20"/>
              </w:rPr>
              <w:t xml:space="preserve"> of redeployees</w:t>
            </w:r>
          </w:p>
        </w:tc>
      </w:tr>
      <w:tr w:rsidRPr="00012202" w:rsidR="00E53DA0" w:rsidTr="3CA940F4" w14:paraId="65DA9DEF" w14:textId="77777777">
        <w:tc>
          <w:tcPr>
            <w:tcW w:w="851" w:type="dxa"/>
          </w:tcPr>
          <w:p w:rsidRPr="00012202" w:rsidR="00E53DA0" w:rsidP="00E53DA0" w:rsidRDefault="00A31DA5" w14:paraId="02AC3550" w14:textId="7C78B7CB">
            <w:pPr>
              <w:pStyle w:val="ListParagraph"/>
              <w:widowControl/>
              <w:spacing w:before="158"/>
              <w:ind w:left="0" w:firstLine="0"/>
              <w:jc w:val="center"/>
              <w:rPr>
                <w:sz w:val="20"/>
                <w:szCs w:val="20"/>
              </w:rPr>
            </w:pPr>
            <w:r>
              <w:rPr>
                <w:sz w:val="20"/>
                <w:szCs w:val="20"/>
              </w:rPr>
              <w:t>19</w:t>
            </w:r>
          </w:p>
        </w:tc>
        <w:tc>
          <w:tcPr>
            <w:tcW w:w="7796" w:type="dxa"/>
          </w:tcPr>
          <w:p w:rsidRPr="00012202" w:rsidR="00E53DA0" w:rsidP="00E53DA0" w:rsidRDefault="00E53DA0" w14:paraId="2385FA28" w14:textId="555F00C0">
            <w:pPr>
              <w:pStyle w:val="ListParagraph"/>
              <w:widowControl/>
              <w:spacing w:before="120" w:after="120"/>
              <w:ind w:left="0" w:firstLine="0"/>
              <w:rPr>
                <w:sz w:val="20"/>
                <w:szCs w:val="20"/>
              </w:rPr>
            </w:pPr>
            <w:r w:rsidRPr="00012202">
              <w:rPr>
                <w:sz w:val="20"/>
                <w:szCs w:val="20"/>
              </w:rPr>
              <w:t>Secretary approval for external advertising</w:t>
            </w:r>
            <w:r w:rsidRPr="00012202" w:rsidDel="003B2789">
              <w:rPr>
                <w:sz w:val="20"/>
                <w:szCs w:val="20"/>
              </w:rPr>
              <w:t xml:space="preserve"> </w:t>
            </w:r>
          </w:p>
        </w:tc>
      </w:tr>
      <w:tr w:rsidRPr="00012202" w:rsidR="00E53DA0" w:rsidTr="3CA940F4" w14:paraId="5AF059F9" w14:textId="77777777">
        <w:tc>
          <w:tcPr>
            <w:tcW w:w="851" w:type="dxa"/>
          </w:tcPr>
          <w:p w:rsidRPr="00012202" w:rsidR="00E53DA0" w:rsidP="004752A2" w:rsidRDefault="00A31DA5" w14:paraId="224D9812" w14:textId="3E2FDACF">
            <w:pPr>
              <w:pStyle w:val="ListParagraph"/>
              <w:widowControl/>
              <w:spacing w:before="158"/>
              <w:ind w:left="0" w:firstLine="0"/>
              <w:jc w:val="center"/>
              <w:rPr>
                <w:sz w:val="20"/>
                <w:szCs w:val="20"/>
              </w:rPr>
            </w:pPr>
            <w:r w:rsidRPr="00012202">
              <w:rPr>
                <w:sz w:val="20"/>
                <w:szCs w:val="20"/>
              </w:rPr>
              <w:t>2</w:t>
            </w:r>
            <w:r>
              <w:rPr>
                <w:sz w:val="20"/>
                <w:szCs w:val="20"/>
              </w:rPr>
              <w:t>0</w:t>
            </w:r>
          </w:p>
        </w:tc>
        <w:tc>
          <w:tcPr>
            <w:tcW w:w="7796" w:type="dxa"/>
          </w:tcPr>
          <w:p w:rsidRPr="00012202" w:rsidR="00E53DA0" w:rsidP="004752A2" w:rsidRDefault="00E53DA0" w14:paraId="15CFAB6E" w14:textId="685CF424">
            <w:pPr>
              <w:pStyle w:val="ListParagraph"/>
              <w:widowControl/>
              <w:spacing w:before="120" w:after="120"/>
              <w:ind w:left="0" w:firstLine="0"/>
              <w:rPr>
                <w:sz w:val="20"/>
                <w:szCs w:val="20"/>
              </w:rPr>
            </w:pPr>
            <w:r w:rsidRPr="00012202">
              <w:rPr>
                <w:sz w:val="20"/>
                <w:szCs w:val="20"/>
              </w:rPr>
              <w:t xml:space="preserve">Secretary pre-approval </w:t>
            </w:r>
            <w:r w:rsidRPr="00012202" w:rsidR="003B2789">
              <w:rPr>
                <w:sz w:val="20"/>
                <w:szCs w:val="20"/>
              </w:rPr>
              <w:t xml:space="preserve">for </w:t>
            </w:r>
            <w:r w:rsidRPr="00012202">
              <w:rPr>
                <w:sz w:val="20"/>
                <w:szCs w:val="20"/>
              </w:rPr>
              <w:t>external advertising</w:t>
            </w:r>
          </w:p>
        </w:tc>
      </w:tr>
      <w:tr w:rsidRPr="00012202" w:rsidR="00E53DA0" w:rsidTr="3CA940F4" w14:paraId="26F58281" w14:textId="77777777">
        <w:tc>
          <w:tcPr>
            <w:tcW w:w="851" w:type="dxa"/>
          </w:tcPr>
          <w:p w:rsidRPr="00012202" w:rsidR="00E53DA0" w:rsidP="004752A2" w:rsidRDefault="00A31DA5" w14:paraId="287B6BF9" w14:textId="4CEA1EF9">
            <w:pPr>
              <w:pStyle w:val="ListParagraph"/>
              <w:widowControl/>
              <w:spacing w:before="158"/>
              <w:ind w:left="0" w:firstLine="0"/>
              <w:jc w:val="center"/>
              <w:rPr>
                <w:sz w:val="20"/>
                <w:szCs w:val="20"/>
              </w:rPr>
            </w:pPr>
            <w:r w:rsidRPr="00012202">
              <w:rPr>
                <w:sz w:val="20"/>
                <w:szCs w:val="20"/>
              </w:rPr>
              <w:t>2</w:t>
            </w:r>
            <w:r>
              <w:rPr>
                <w:sz w:val="20"/>
                <w:szCs w:val="20"/>
              </w:rPr>
              <w:t>2</w:t>
            </w:r>
          </w:p>
        </w:tc>
        <w:tc>
          <w:tcPr>
            <w:tcW w:w="7796" w:type="dxa"/>
          </w:tcPr>
          <w:p w:rsidRPr="00012202" w:rsidR="00E53DA0" w:rsidP="00E53DA0" w:rsidRDefault="00E53DA0" w14:paraId="21E9F1FF" w14:textId="0FDCC3D1">
            <w:pPr>
              <w:pStyle w:val="ListParagraph"/>
              <w:widowControl/>
              <w:spacing w:before="120" w:after="120"/>
              <w:ind w:left="0" w:firstLine="0"/>
              <w:rPr>
                <w:sz w:val="20"/>
                <w:szCs w:val="20"/>
              </w:rPr>
            </w:pPr>
            <w:r w:rsidRPr="00012202">
              <w:rPr>
                <w:sz w:val="20"/>
                <w:szCs w:val="20"/>
              </w:rPr>
              <w:t>Evidence base required for a request for external advertising</w:t>
            </w:r>
          </w:p>
        </w:tc>
      </w:tr>
      <w:tr w:rsidRPr="00012202" w:rsidR="00E53DA0" w:rsidTr="3CA940F4" w14:paraId="5DE964BA" w14:textId="77777777">
        <w:tc>
          <w:tcPr>
            <w:tcW w:w="851" w:type="dxa"/>
          </w:tcPr>
          <w:p w:rsidRPr="00012202" w:rsidR="00E53DA0" w:rsidP="004752A2" w:rsidRDefault="00A31DA5" w14:paraId="65C1C6D7" w14:textId="4CB32640">
            <w:pPr>
              <w:pStyle w:val="ListParagraph"/>
              <w:widowControl/>
              <w:spacing w:before="158"/>
              <w:ind w:left="0" w:firstLine="0"/>
              <w:jc w:val="center"/>
              <w:rPr>
                <w:sz w:val="20"/>
                <w:szCs w:val="20"/>
              </w:rPr>
            </w:pPr>
            <w:r w:rsidRPr="00012202">
              <w:rPr>
                <w:sz w:val="20"/>
                <w:szCs w:val="20"/>
              </w:rPr>
              <w:t>2</w:t>
            </w:r>
            <w:r>
              <w:rPr>
                <w:sz w:val="20"/>
                <w:szCs w:val="20"/>
              </w:rPr>
              <w:t>3</w:t>
            </w:r>
          </w:p>
        </w:tc>
        <w:tc>
          <w:tcPr>
            <w:tcW w:w="7796" w:type="dxa"/>
          </w:tcPr>
          <w:p w:rsidRPr="00012202" w:rsidR="00E53DA0" w:rsidP="00E53DA0" w:rsidRDefault="003B2789" w14:paraId="55F61DFD" w14:textId="61FE840E">
            <w:pPr>
              <w:pStyle w:val="ListParagraph"/>
              <w:widowControl/>
              <w:spacing w:before="120" w:after="120"/>
              <w:ind w:left="0" w:firstLine="0"/>
              <w:rPr>
                <w:sz w:val="20"/>
                <w:szCs w:val="20"/>
              </w:rPr>
            </w:pPr>
            <w:r w:rsidRPr="00012202">
              <w:rPr>
                <w:sz w:val="20"/>
                <w:szCs w:val="20"/>
              </w:rPr>
              <w:t>E</w:t>
            </w:r>
            <w:r w:rsidRPr="00012202" w:rsidR="00E53DA0">
              <w:rPr>
                <w:sz w:val="20"/>
                <w:szCs w:val="20"/>
              </w:rPr>
              <w:t xml:space="preserve">xternal advertising for roles subject to Section 12 of the </w:t>
            </w:r>
            <w:r w:rsidRPr="00012202" w:rsidR="00E53DA0">
              <w:rPr>
                <w:i/>
                <w:iCs/>
                <w:sz w:val="20"/>
                <w:szCs w:val="20"/>
              </w:rPr>
              <w:t>Equal Opportunity Act</w:t>
            </w:r>
            <w:r w:rsidRPr="00012202" w:rsidR="00E53DA0">
              <w:rPr>
                <w:i/>
                <w:iCs/>
                <w:spacing w:val="-10"/>
                <w:sz w:val="20"/>
                <w:szCs w:val="20"/>
              </w:rPr>
              <w:t xml:space="preserve"> </w:t>
            </w:r>
            <w:r w:rsidRPr="00012202" w:rsidR="00E53DA0">
              <w:rPr>
                <w:i/>
                <w:iCs/>
                <w:sz w:val="20"/>
                <w:szCs w:val="20"/>
              </w:rPr>
              <w:t xml:space="preserve">2010 </w:t>
            </w:r>
            <w:r w:rsidRPr="00012202" w:rsidR="00E53DA0">
              <w:rPr>
                <w:sz w:val="20"/>
                <w:szCs w:val="20"/>
              </w:rPr>
              <w:t>(Vic)</w:t>
            </w:r>
          </w:p>
        </w:tc>
      </w:tr>
      <w:tr w:rsidRPr="00012202" w:rsidR="00E53DA0" w:rsidTr="3CA940F4" w14:paraId="29234076" w14:textId="77777777">
        <w:tc>
          <w:tcPr>
            <w:tcW w:w="851" w:type="dxa"/>
          </w:tcPr>
          <w:p w:rsidRPr="00012202" w:rsidR="00E53DA0" w:rsidP="004752A2" w:rsidRDefault="00A31DA5" w14:paraId="697D30BD" w14:textId="0FCF3F64">
            <w:pPr>
              <w:pStyle w:val="ListParagraph"/>
              <w:widowControl/>
              <w:spacing w:before="158"/>
              <w:ind w:left="0" w:firstLine="0"/>
              <w:jc w:val="center"/>
              <w:rPr>
                <w:sz w:val="20"/>
                <w:szCs w:val="20"/>
              </w:rPr>
            </w:pPr>
            <w:r w:rsidRPr="00012202">
              <w:rPr>
                <w:sz w:val="20"/>
                <w:szCs w:val="20"/>
              </w:rPr>
              <w:t>2</w:t>
            </w:r>
            <w:r>
              <w:rPr>
                <w:sz w:val="20"/>
                <w:szCs w:val="20"/>
              </w:rPr>
              <w:t>4</w:t>
            </w:r>
          </w:p>
        </w:tc>
        <w:tc>
          <w:tcPr>
            <w:tcW w:w="7796" w:type="dxa"/>
          </w:tcPr>
          <w:p w:rsidRPr="00012202" w:rsidR="00E53DA0" w:rsidP="004752A2" w:rsidRDefault="00E53DA0" w14:paraId="02C3B5D4" w14:textId="0605E829">
            <w:pPr>
              <w:pStyle w:val="ListParagraph"/>
              <w:widowControl/>
              <w:spacing w:before="120" w:after="120"/>
              <w:ind w:left="0" w:firstLine="0"/>
              <w:rPr>
                <w:sz w:val="20"/>
                <w:szCs w:val="20"/>
              </w:rPr>
            </w:pPr>
            <w:r w:rsidRPr="00012202">
              <w:rPr>
                <w:sz w:val="20"/>
                <w:szCs w:val="20"/>
              </w:rPr>
              <w:t>External advertising when specialist skills are required</w:t>
            </w:r>
          </w:p>
        </w:tc>
      </w:tr>
      <w:tr w:rsidRPr="00012202" w:rsidR="00E53DA0" w:rsidTr="3CA940F4" w14:paraId="288D8EBB" w14:textId="77777777">
        <w:tc>
          <w:tcPr>
            <w:tcW w:w="851" w:type="dxa"/>
          </w:tcPr>
          <w:p w:rsidRPr="00012202" w:rsidR="00E53DA0" w:rsidP="004752A2" w:rsidRDefault="00A31DA5" w14:paraId="156564B5" w14:textId="1CBFA683">
            <w:pPr>
              <w:pStyle w:val="ListParagraph"/>
              <w:widowControl/>
              <w:spacing w:before="158"/>
              <w:ind w:left="0" w:firstLine="0"/>
              <w:jc w:val="center"/>
              <w:rPr>
                <w:sz w:val="20"/>
                <w:szCs w:val="20"/>
              </w:rPr>
            </w:pPr>
            <w:r w:rsidRPr="00012202">
              <w:rPr>
                <w:sz w:val="20"/>
                <w:szCs w:val="20"/>
              </w:rPr>
              <w:t>2</w:t>
            </w:r>
            <w:r>
              <w:rPr>
                <w:sz w:val="20"/>
                <w:szCs w:val="20"/>
              </w:rPr>
              <w:t>5</w:t>
            </w:r>
          </w:p>
        </w:tc>
        <w:tc>
          <w:tcPr>
            <w:tcW w:w="7796" w:type="dxa"/>
          </w:tcPr>
          <w:p w:rsidRPr="00012202" w:rsidR="00E53DA0" w:rsidP="004752A2" w:rsidRDefault="00BB7506" w14:paraId="6DD53CE2" w14:textId="49F66EE6">
            <w:pPr>
              <w:pStyle w:val="ListParagraph"/>
              <w:widowControl/>
              <w:spacing w:before="120" w:after="120"/>
              <w:ind w:left="0" w:firstLine="0"/>
              <w:rPr>
                <w:sz w:val="20"/>
                <w:szCs w:val="20"/>
              </w:rPr>
            </w:pPr>
            <w:r w:rsidRPr="00012202">
              <w:rPr>
                <w:sz w:val="20"/>
                <w:szCs w:val="20"/>
              </w:rPr>
              <w:t>Priority c</w:t>
            </w:r>
            <w:r w:rsidRPr="00012202" w:rsidR="00E53DA0">
              <w:rPr>
                <w:sz w:val="20"/>
                <w:szCs w:val="20"/>
              </w:rPr>
              <w:t xml:space="preserve">onsideration of JSE </w:t>
            </w:r>
            <w:r w:rsidR="009D6CE1">
              <w:rPr>
                <w:sz w:val="20"/>
                <w:szCs w:val="20"/>
              </w:rPr>
              <w:t xml:space="preserve">applicants </w:t>
            </w:r>
            <w:r w:rsidRPr="00012202" w:rsidR="00E53DA0">
              <w:rPr>
                <w:sz w:val="20"/>
                <w:szCs w:val="20"/>
              </w:rPr>
              <w:t xml:space="preserve">prior </w:t>
            </w:r>
            <w:r w:rsidRPr="00012202" w:rsidR="007C3E64">
              <w:rPr>
                <w:sz w:val="20"/>
                <w:szCs w:val="20"/>
              </w:rPr>
              <w:t xml:space="preserve">to </w:t>
            </w:r>
            <w:r w:rsidRPr="00012202" w:rsidR="00E53DA0">
              <w:rPr>
                <w:sz w:val="20"/>
                <w:szCs w:val="20"/>
              </w:rPr>
              <w:t xml:space="preserve">external </w:t>
            </w:r>
            <w:r w:rsidR="009D6CE1">
              <w:rPr>
                <w:sz w:val="20"/>
                <w:szCs w:val="20"/>
              </w:rPr>
              <w:t xml:space="preserve">applicants </w:t>
            </w:r>
            <w:r w:rsidRPr="00012202">
              <w:rPr>
                <w:sz w:val="20"/>
                <w:szCs w:val="20"/>
              </w:rPr>
              <w:t xml:space="preserve">for </w:t>
            </w:r>
            <w:r w:rsidRPr="00012202" w:rsidR="006F249C">
              <w:rPr>
                <w:sz w:val="20"/>
                <w:szCs w:val="20"/>
              </w:rPr>
              <w:t xml:space="preserve">immediate </w:t>
            </w:r>
            <w:r w:rsidRPr="00012202">
              <w:rPr>
                <w:sz w:val="20"/>
                <w:szCs w:val="20"/>
              </w:rPr>
              <w:t>external advertising</w:t>
            </w:r>
          </w:p>
        </w:tc>
      </w:tr>
      <w:tr w:rsidRPr="00012202" w:rsidR="00E53DA0" w:rsidTr="3CA940F4" w14:paraId="1930C053" w14:textId="77777777">
        <w:tc>
          <w:tcPr>
            <w:tcW w:w="851" w:type="dxa"/>
          </w:tcPr>
          <w:p w:rsidRPr="00012202" w:rsidR="00E53DA0" w:rsidP="004752A2" w:rsidRDefault="00A31DA5" w14:paraId="29F2FC6C" w14:textId="1BCC6EF4">
            <w:pPr>
              <w:pStyle w:val="ListParagraph"/>
              <w:widowControl/>
              <w:spacing w:before="158"/>
              <w:ind w:left="0" w:firstLine="0"/>
              <w:jc w:val="center"/>
              <w:rPr>
                <w:sz w:val="20"/>
                <w:szCs w:val="20"/>
              </w:rPr>
            </w:pPr>
            <w:r w:rsidRPr="00012202">
              <w:rPr>
                <w:sz w:val="20"/>
                <w:szCs w:val="20"/>
              </w:rPr>
              <w:t>3</w:t>
            </w:r>
            <w:r>
              <w:rPr>
                <w:sz w:val="20"/>
                <w:szCs w:val="20"/>
              </w:rPr>
              <w:t>0</w:t>
            </w:r>
            <w:r w:rsidRPr="00012202" w:rsidR="0015380B">
              <w:rPr>
                <w:sz w:val="20"/>
                <w:szCs w:val="20"/>
              </w:rPr>
              <w:t xml:space="preserve">, </w:t>
            </w:r>
            <w:r w:rsidRPr="00012202">
              <w:rPr>
                <w:sz w:val="20"/>
                <w:szCs w:val="20"/>
              </w:rPr>
              <w:t>3</w:t>
            </w:r>
            <w:r>
              <w:rPr>
                <w:sz w:val="20"/>
                <w:szCs w:val="20"/>
              </w:rPr>
              <w:t>1</w:t>
            </w:r>
            <w:r w:rsidRPr="00012202">
              <w:rPr>
                <w:sz w:val="20"/>
                <w:szCs w:val="20"/>
              </w:rPr>
              <w:t xml:space="preserve"> </w:t>
            </w:r>
            <w:r w:rsidRPr="00012202" w:rsidR="0015380B">
              <w:rPr>
                <w:sz w:val="20"/>
                <w:szCs w:val="20"/>
              </w:rPr>
              <w:t xml:space="preserve">&amp; </w:t>
            </w:r>
            <w:r w:rsidRPr="00012202">
              <w:rPr>
                <w:sz w:val="20"/>
                <w:szCs w:val="20"/>
              </w:rPr>
              <w:t>3</w:t>
            </w:r>
            <w:r>
              <w:rPr>
                <w:sz w:val="20"/>
                <w:szCs w:val="20"/>
              </w:rPr>
              <w:t>2</w:t>
            </w:r>
          </w:p>
        </w:tc>
        <w:tc>
          <w:tcPr>
            <w:tcW w:w="7796" w:type="dxa"/>
          </w:tcPr>
          <w:p w:rsidRPr="00012202" w:rsidR="00E53DA0" w:rsidP="004752A2" w:rsidRDefault="006F249C" w14:paraId="69CA83D7" w14:textId="7E0B4EC8">
            <w:pPr>
              <w:pStyle w:val="ListParagraph"/>
              <w:widowControl/>
              <w:spacing w:before="120" w:after="120"/>
              <w:ind w:left="0" w:firstLine="0"/>
              <w:rPr>
                <w:sz w:val="20"/>
                <w:szCs w:val="20"/>
              </w:rPr>
            </w:pPr>
            <w:r w:rsidRPr="00012202">
              <w:rPr>
                <w:sz w:val="20"/>
                <w:szCs w:val="20"/>
              </w:rPr>
              <w:t>JSE</w:t>
            </w:r>
            <w:r w:rsidRPr="00012202" w:rsidR="00E53DA0">
              <w:rPr>
                <w:sz w:val="20"/>
                <w:szCs w:val="20"/>
              </w:rPr>
              <w:t xml:space="preserve"> access </w:t>
            </w:r>
            <w:r w:rsidRPr="00012202" w:rsidR="0015380B">
              <w:rPr>
                <w:sz w:val="20"/>
                <w:szCs w:val="20"/>
              </w:rPr>
              <w:t>beyond employment period</w:t>
            </w:r>
            <w:r w:rsidRPr="00012202" w:rsidR="00E53DA0">
              <w:rPr>
                <w:sz w:val="20"/>
                <w:szCs w:val="20"/>
              </w:rPr>
              <w:t xml:space="preserve"> </w:t>
            </w:r>
          </w:p>
        </w:tc>
      </w:tr>
    </w:tbl>
    <w:p w:rsidRPr="0039739D" w:rsidR="00300BE4" w:rsidP="00012202" w:rsidRDefault="00CB2D8A" w14:paraId="5EEBA76E" w14:textId="77777777">
      <w:pPr>
        <w:pStyle w:val="ListParagraph"/>
        <w:numPr>
          <w:ilvl w:val="0"/>
          <w:numId w:val="13"/>
        </w:numPr>
        <w:spacing w:before="240"/>
        <w:ind w:left="1701" w:hanging="567"/>
      </w:pPr>
      <w:r w:rsidRPr="0039739D">
        <w:t>This policy will be subject to review as the JSE is further</w:t>
      </w:r>
      <w:r w:rsidRPr="0039739D">
        <w:rPr>
          <w:spacing w:val="-18"/>
        </w:rPr>
        <w:t xml:space="preserve"> </w:t>
      </w:r>
      <w:bookmarkStart w:name="_Int_qBW3rFMx" w:id="4"/>
      <w:r w:rsidRPr="0039739D">
        <w:t>operationalised</w:t>
      </w:r>
      <w:bookmarkEnd w:id="4"/>
      <w:r w:rsidRPr="0039739D">
        <w:t>.</w:t>
      </w:r>
    </w:p>
    <w:p w:rsidRPr="0039739D" w:rsidR="00300BE4" w:rsidP="00A1229B" w:rsidRDefault="00CB2D8A" w14:paraId="5EEBA770" w14:textId="77777777">
      <w:pPr>
        <w:pStyle w:val="Heading1"/>
        <w:keepNext/>
        <w:spacing w:before="120" w:after="120"/>
        <w:ind w:left="1145" w:hanging="11"/>
        <w:rPr>
          <w:b/>
        </w:rPr>
      </w:pPr>
      <w:bookmarkStart w:name="_Toc122516988" w:id="5"/>
      <w:r w:rsidRPr="0039739D">
        <w:rPr>
          <w:b/>
          <w:color w:val="217F4B"/>
        </w:rPr>
        <w:t>Section 2 – Policy Outline and Principles</w:t>
      </w:r>
      <w:bookmarkEnd w:id="5"/>
    </w:p>
    <w:p w:rsidRPr="0039739D" w:rsidR="00300BE4" w:rsidP="00A1229B" w:rsidRDefault="00CB2D8A" w14:paraId="5EEBA771" w14:textId="2FE80A76">
      <w:pPr>
        <w:pStyle w:val="Heading2"/>
        <w:keepNext/>
        <w:spacing w:before="120"/>
        <w:ind w:left="1701" w:hanging="567"/>
      </w:pPr>
      <w:bookmarkStart w:name="_Toc122516989" w:id="6"/>
      <w:r w:rsidRPr="0039739D">
        <w:rPr>
          <w:color w:val="217F4B"/>
        </w:rPr>
        <w:t xml:space="preserve">2.1 </w:t>
      </w:r>
      <w:r w:rsidR="00A1229B">
        <w:rPr>
          <w:color w:val="217F4B"/>
        </w:rPr>
        <w:tab/>
      </w:r>
      <w:r w:rsidRPr="0039739D">
        <w:rPr>
          <w:color w:val="217F4B"/>
        </w:rPr>
        <w:t>Scope and application</w:t>
      </w:r>
      <w:bookmarkEnd w:id="6"/>
    </w:p>
    <w:p w:rsidRPr="0039739D" w:rsidR="00300BE4" w:rsidP="00A1229B" w:rsidRDefault="00CB2D8A" w14:paraId="5EEBA772" w14:textId="25506068">
      <w:pPr>
        <w:pStyle w:val="ListParagraph"/>
        <w:keepNext/>
        <w:numPr>
          <w:ilvl w:val="0"/>
          <w:numId w:val="13"/>
        </w:numPr>
        <w:spacing w:before="118" w:line="242" w:lineRule="auto"/>
        <w:ind w:left="1701" w:right="867" w:hanging="567"/>
        <w:jc w:val="both"/>
      </w:pPr>
      <w:r w:rsidRPr="0039739D">
        <w:t>From 1 October 2019 all VPS jobs across all levels (including bulk recruitment) will first be advertised</w:t>
      </w:r>
      <w:r w:rsidRPr="0039739D">
        <w:rPr>
          <w:spacing w:val="-4"/>
        </w:rPr>
        <w:t xml:space="preserve"> </w:t>
      </w:r>
      <w:r w:rsidRPr="0039739D">
        <w:t>to</w:t>
      </w:r>
      <w:r w:rsidRPr="0039739D">
        <w:rPr>
          <w:spacing w:val="-4"/>
        </w:rPr>
        <w:t xml:space="preserve"> </w:t>
      </w:r>
      <w:r w:rsidR="00586500">
        <w:t>eligible</w:t>
      </w:r>
      <w:r w:rsidRPr="0039739D" w:rsidR="00586500">
        <w:rPr>
          <w:spacing w:val="-4"/>
        </w:rPr>
        <w:t xml:space="preserve"> </w:t>
      </w:r>
      <w:r w:rsidRPr="0039739D">
        <w:t>employees</w:t>
      </w:r>
      <w:r w:rsidRPr="0039739D">
        <w:rPr>
          <w:spacing w:val="-4"/>
        </w:rPr>
        <w:t xml:space="preserve"> </w:t>
      </w:r>
      <w:r w:rsidRPr="0039739D">
        <w:t>exclusively</w:t>
      </w:r>
      <w:r w:rsidRPr="0039739D">
        <w:rPr>
          <w:spacing w:val="-4"/>
        </w:rPr>
        <w:t xml:space="preserve"> </w:t>
      </w:r>
      <w:r w:rsidRPr="0039739D">
        <w:t>via</w:t>
      </w:r>
      <w:r w:rsidRPr="0039739D">
        <w:rPr>
          <w:spacing w:val="-4"/>
        </w:rPr>
        <w:t xml:space="preserve"> </w:t>
      </w:r>
      <w:r w:rsidRPr="0039739D">
        <w:t>the</w:t>
      </w:r>
      <w:r w:rsidRPr="0039739D">
        <w:rPr>
          <w:spacing w:val="-4"/>
        </w:rPr>
        <w:t xml:space="preserve"> </w:t>
      </w:r>
      <w:r w:rsidRPr="0039739D">
        <w:t>JSE</w:t>
      </w:r>
      <w:r w:rsidRPr="0039739D">
        <w:rPr>
          <w:spacing w:val="-4"/>
        </w:rPr>
        <w:t xml:space="preserve"> </w:t>
      </w:r>
      <w:r w:rsidR="004506FD">
        <w:t>jobs board</w:t>
      </w:r>
      <w:r w:rsidRPr="0039739D">
        <w:t>.</w:t>
      </w:r>
      <w:r w:rsidRPr="0039739D">
        <w:rPr>
          <w:spacing w:val="-4"/>
        </w:rPr>
        <w:t xml:space="preserve"> </w:t>
      </w:r>
      <w:r w:rsidRPr="0039739D">
        <w:t>This</w:t>
      </w:r>
      <w:r w:rsidRPr="0039739D">
        <w:rPr>
          <w:spacing w:val="-4"/>
        </w:rPr>
        <w:t xml:space="preserve"> </w:t>
      </w:r>
      <w:r w:rsidRPr="0039739D">
        <w:t>includes</w:t>
      </w:r>
      <w:r w:rsidRPr="0039739D">
        <w:rPr>
          <w:spacing w:val="-4"/>
        </w:rPr>
        <w:t xml:space="preserve"> </w:t>
      </w:r>
      <w:r w:rsidRPr="0039739D">
        <w:t>the</w:t>
      </w:r>
      <w:r w:rsidRPr="0039739D">
        <w:rPr>
          <w:spacing w:val="-4"/>
        </w:rPr>
        <w:t xml:space="preserve"> </w:t>
      </w:r>
      <w:r w:rsidRPr="0039739D">
        <w:t>following roles:</w:t>
      </w:r>
    </w:p>
    <w:p w:rsidRPr="0039739D" w:rsidR="00300BE4" w:rsidP="00A1229B" w:rsidRDefault="001F1EA4" w14:paraId="5EEBA773" w14:textId="08A506C8">
      <w:pPr>
        <w:pStyle w:val="ListParagraph"/>
        <w:keepNext/>
        <w:numPr>
          <w:ilvl w:val="1"/>
          <w:numId w:val="13"/>
        </w:numPr>
        <w:spacing w:before="124" w:line="242" w:lineRule="auto"/>
        <w:ind w:right="946" w:hanging="163"/>
      </w:pPr>
      <w:r w:rsidRPr="0039739D">
        <w:t xml:space="preserve">Senior </w:t>
      </w:r>
      <w:r w:rsidRPr="0039739D" w:rsidR="00CB2D8A">
        <w:t>Executive</w:t>
      </w:r>
      <w:r w:rsidRPr="00DF200C" w:rsidR="00CB2D8A">
        <w:t xml:space="preserve"> </w:t>
      </w:r>
      <w:r w:rsidRPr="0039739D">
        <w:t>Service</w:t>
      </w:r>
    </w:p>
    <w:p w:rsidRPr="0039739D" w:rsidR="00300BE4" w:rsidP="00A1229B" w:rsidRDefault="00CB2D8A" w14:paraId="5EEBA774" w14:textId="77777777">
      <w:pPr>
        <w:pStyle w:val="ListParagraph"/>
        <w:keepNext/>
        <w:numPr>
          <w:ilvl w:val="1"/>
          <w:numId w:val="13"/>
        </w:numPr>
        <w:spacing w:before="124" w:line="242" w:lineRule="auto"/>
        <w:ind w:right="946" w:hanging="163"/>
      </w:pPr>
      <w:r w:rsidRPr="0039739D">
        <w:t>Ongoing</w:t>
      </w:r>
    </w:p>
    <w:p w:rsidRPr="0039739D" w:rsidR="00300BE4" w:rsidP="00A1229B" w:rsidRDefault="00CB2D8A" w14:paraId="5EEBA775" w14:textId="77777777">
      <w:pPr>
        <w:pStyle w:val="ListParagraph"/>
        <w:keepNext/>
        <w:numPr>
          <w:ilvl w:val="1"/>
          <w:numId w:val="13"/>
        </w:numPr>
        <w:spacing w:before="124" w:line="242" w:lineRule="auto"/>
        <w:ind w:right="946" w:hanging="163"/>
      </w:pPr>
      <w:bookmarkStart w:name="_Int_bSq3IMqV" w:id="7"/>
      <w:proofErr w:type="gramStart"/>
      <w:r>
        <w:t>Fixed-term</w:t>
      </w:r>
      <w:bookmarkEnd w:id="7"/>
      <w:proofErr w:type="gramEnd"/>
      <w:r>
        <w:t xml:space="preserve"> (including short-term roles)</w:t>
      </w:r>
    </w:p>
    <w:p w:rsidRPr="0039739D" w:rsidR="00300BE4" w:rsidP="00A1229B" w:rsidRDefault="00CB2D8A" w14:paraId="5EEBA776" w14:textId="77777777">
      <w:pPr>
        <w:pStyle w:val="ListParagraph"/>
        <w:keepNext/>
        <w:numPr>
          <w:ilvl w:val="1"/>
          <w:numId w:val="13"/>
        </w:numPr>
        <w:spacing w:before="124" w:line="242" w:lineRule="auto"/>
        <w:ind w:right="946" w:hanging="163"/>
      </w:pPr>
      <w:r w:rsidRPr="0039739D">
        <w:t>Casual</w:t>
      </w:r>
    </w:p>
    <w:p w:rsidRPr="0039739D" w:rsidR="00300BE4" w:rsidP="00A1229B" w:rsidRDefault="00CB2D8A" w14:paraId="5EEBA777" w14:textId="77777777">
      <w:pPr>
        <w:pStyle w:val="ListParagraph"/>
        <w:keepNext/>
        <w:numPr>
          <w:ilvl w:val="1"/>
          <w:numId w:val="13"/>
        </w:numPr>
        <w:spacing w:before="124" w:line="242" w:lineRule="auto"/>
        <w:ind w:right="946" w:hanging="163"/>
      </w:pPr>
      <w:r w:rsidRPr="0039739D">
        <w:t>Seasonal.</w:t>
      </w:r>
    </w:p>
    <w:p w:rsidRPr="0039739D" w:rsidR="00300BE4" w:rsidP="00A1229B" w:rsidRDefault="00CB2D8A" w14:paraId="5EEBA778" w14:textId="6D82F8A1">
      <w:pPr>
        <w:pStyle w:val="ListParagraph"/>
        <w:keepNext/>
        <w:numPr>
          <w:ilvl w:val="0"/>
          <w:numId w:val="13"/>
        </w:numPr>
        <w:spacing w:before="159" w:line="244" w:lineRule="auto"/>
        <w:ind w:left="1701" w:right="1135" w:hanging="567"/>
      </w:pPr>
      <w:r w:rsidRPr="0039739D">
        <w:t>Secondment opportunities that fall within the above categories must be advertised</w:t>
      </w:r>
      <w:r w:rsidRPr="0039739D">
        <w:rPr>
          <w:spacing w:val="-40"/>
        </w:rPr>
        <w:t xml:space="preserve"> </w:t>
      </w:r>
      <w:r w:rsidRPr="0039739D">
        <w:t>on the</w:t>
      </w:r>
      <w:r w:rsidRPr="0039739D">
        <w:rPr>
          <w:spacing w:val="-2"/>
        </w:rPr>
        <w:t xml:space="preserve"> </w:t>
      </w:r>
      <w:r w:rsidRPr="0039739D">
        <w:t>JSE.</w:t>
      </w:r>
    </w:p>
    <w:p w:rsidRPr="0039739D" w:rsidR="00300BE4" w:rsidP="001D7674" w:rsidRDefault="00CB2D8A" w14:paraId="5EEBA77E" w14:textId="04A447A9">
      <w:pPr>
        <w:pStyle w:val="ListParagraph"/>
        <w:keepNext/>
        <w:numPr>
          <w:ilvl w:val="0"/>
          <w:numId w:val="13"/>
        </w:numPr>
        <w:spacing w:before="124" w:line="242" w:lineRule="auto"/>
        <w:ind w:left="1701" w:right="870" w:hanging="567"/>
      </w:pPr>
      <w:r w:rsidRPr="0039739D">
        <w:t>Advertising through the JSE is not mandatory, but is encouraged, for temporary acting opportunities up to</w:t>
      </w:r>
      <w:r w:rsidR="008C018D">
        <w:t xml:space="preserve"> six (</w:t>
      </w:r>
      <w:r w:rsidRPr="0039739D">
        <w:t>6</w:t>
      </w:r>
      <w:r w:rsidR="008C018D">
        <w:t>)</w:t>
      </w:r>
      <w:r w:rsidRPr="0039739D">
        <w:t xml:space="preserve"> months</w:t>
      </w:r>
      <w:r w:rsidR="008C018D">
        <w:t xml:space="preserve"> duration</w:t>
      </w:r>
      <w:r w:rsidRPr="0039739D">
        <w:t xml:space="preserve"> if a current VPS employee is identified. A temporary acting opportunity </w:t>
      </w:r>
      <w:r w:rsidR="008C018D">
        <w:t>is</w:t>
      </w:r>
      <w:r w:rsidRPr="0039739D" w:rsidR="008C018D">
        <w:t xml:space="preserve"> </w:t>
      </w:r>
      <w:r w:rsidRPr="0039739D">
        <w:t>a role temporarily vacated by an employee (</w:t>
      </w:r>
      <w:r w:rsidRPr="0039739D" w:rsidR="001C3D6E">
        <w:t>e.g.,</w:t>
      </w:r>
      <w:r w:rsidRPr="0039739D">
        <w:t xml:space="preserve"> by taking leave or going on secondment) or a vacant role for which a substantive recruitment process is underway. Temporary acting opportunities longer than</w:t>
      </w:r>
      <w:r w:rsidR="008C018D">
        <w:t xml:space="preserve"> six</w:t>
      </w:r>
      <w:r w:rsidRPr="0039739D">
        <w:t xml:space="preserve"> </w:t>
      </w:r>
      <w:r w:rsidR="008C018D">
        <w:t>(</w:t>
      </w:r>
      <w:r w:rsidRPr="0039739D">
        <w:t>6</w:t>
      </w:r>
      <w:r w:rsidR="008C018D">
        <w:t>)</w:t>
      </w:r>
      <w:r w:rsidRPr="0039739D">
        <w:t xml:space="preserve"> months must be advertised through the</w:t>
      </w:r>
      <w:r w:rsidRPr="0039739D">
        <w:rPr>
          <w:spacing w:val="-3"/>
        </w:rPr>
        <w:t xml:space="preserve"> </w:t>
      </w:r>
      <w:r w:rsidRPr="0039739D">
        <w:t>JSE</w:t>
      </w:r>
      <w:r w:rsidR="008C018D">
        <w:t xml:space="preserve"> in accordance with this policy</w:t>
      </w:r>
      <w:r w:rsidRPr="0039739D">
        <w:t>.</w:t>
      </w:r>
      <w:r w:rsidR="00DE0122">
        <w:t xml:space="preserve"> </w:t>
      </w:r>
    </w:p>
    <w:p w:rsidRPr="0039739D" w:rsidR="00300BE4" w:rsidP="00A1229B" w:rsidRDefault="00CB2D8A" w14:paraId="5EEBA780" w14:textId="1954B181">
      <w:pPr>
        <w:pStyle w:val="ListParagraph"/>
        <w:keepNext/>
        <w:numPr>
          <w:ilvl w:val="0"/>
          <w:numId w:val="13"/>
        </w:numPr>
        <w:spacing w:before="158" w:line="242" w:lineRule="auto"/>
        <w:ind w:left="1701" w:right="1326" w:hanging="557"/>
      </w:pPr>
      <w:r w:rsidRPr="00AF5EA0">
        <w:t>Th</w:t>
      </w:r>
      <w:r w:rsidRPr="00AF5EA0" w:rsidR="009F03F2">
        <w:t>e recruitment proce</w:t>
      </w:r>
      <w:r w:rsidRPr="00AF5EA0" w:rsidR="00466F99">
        <w:t xml:space="preserve">sses and advertising requirements </w:t>
      </w:r>
      <w:r w:rsidRPr="00AF5EA0" w:rsidR="00981339">
        <w:t>outlined in th</w:t>
      </w:r>
      <w:r w:rsidRPr="00AF5EA0">
        <w:t>is policy appl</w:t>
      </w:r>
      <w:r w:rsidRPr="00AF5EA0" w:rsidR="00981339">
        <w:t>y</w:t>
      </w:r>
      <w:r w:rsidRPr="0039739D">
        <w:t xml:space="preserve"> to employers that employ people under Part 3 of the </w:t>
      </w:r>
      <w:r w:rsidRPr="004C1128">
        <w:rPr>
          <w:i/>
          <w:iCs/>
        </w:rPr>
        <w:t>Public Administration Act 2004</w:t>
      </w:r>
      <w:r w:rsidR="00DE747F">
        <w:rPr>
          <w:i/>
          <w:iCs/>
        </w:rPr>
        <w:t xml:space="preserve"> </w:t>
      </w:r>
      <w:r w:rsidRPr="00DE747F" w:rsidR="00DE747F">
        <w:t>(Vic)</w:t>
      </w:r>
      <w:r w:rsidRPr="00DE747F">
        <w:t>,</w:t>
      </w:r>
      <w:r w:rsidRPr="0039739D">
        <w:t xml:space="preserve"> and to the employees employed under that Part. </w:t>
      </w:r>
      <w:r w:rsidR="00135614">
        <w:t>The JSE Policy</w:t>
      </w:r>
      <w:r w:rsidRPr="0039739D">
        <w:t xml:space="preserve"> includes, but is not limited</w:t>
      </w:r>
      <w:r w:rsidRPr="00586500">
        <w:rPr>
          <w:spacing w:val="-6"/>
        </w:rPr>
        <w:t xml:space="preserve"> </w:t>
      </w:r>
      <w:r w:rsidRPr="0039739D">
        <w:t>to:</w:t>
      </w:r>
    </w:p>
    <w:p w:rsidRPr="0039739D" w:rsidR="00300BE4" w:rsidP="00A1229B" w:rsidRDefault="00CB2D8A" w14:paraId="5EEBA781" w14:textId="12D5869F">
      <w:pPr>
        <w:pStyle w:val="ListParagraph"/>
        <w:keepNext/>
        <w:numPr>
          <w:ilvl w:val="1"/>
          <w:numId w:val="13"/>
        </w:numPr>
        <w:spacing w:before="124" w:line="242" w:lineRule="auto"/>
        <w:ind w:left="2127" w:right="946" w:hanging="426"/>
      </w:pPr>
      <w:r w:rsidRPr="0039739D">
        <w:t>VPS</w:t>
      </w:r>
      <w:r w:rsidRPr="00DF200C">
        <w:t xml:space="preserve"> </w:t>
      </w:r>
      <w:r w:rsidRPr="0039739D">
        <w:t>departments</w:t>
      </w:r>
    </w:p>
    <w:p w:rsidRPr="0039739D" w:rsidR="00300BE4" w:rsidP="00A1229B" w:rsidRDefault="00CB2D8A" w14:paraId="5EEBA782" w14:textId="0FEA2275">
      <w:pPr>
        <w:pStyle w:val="ListParagraph"/>
        <w:keepNext/>
        <w:numPr>
          <w:ilvl w:val="1"/>
          <w:numId w:val="13"/>
        </w:numPr>
        <w:spacing w:before="124" w:line="242" w:lineRule="auto"/>
        <w:ind w:left="2127" w:right="946" w:hanging="426"/>
      </w:pPr>
      <w:r w:rsidRPr="0039739D">
        <w:t>Administrative</w:t>
      </w:r>
      <w:r w:rsidRPr="00DF200C">
        <w:t xml:space="preserve"> </w:t>
      </w:r>
      <w:r w:rsidRPr="0039739D">
        <w:t>Offices</w:t>
      </w:r>
    </w:p>
    <w:p w:rsidRPr="0039739D" w:rsidR="00300BE4" w:rsidP="00A1229B" w:rsidRDefault="00CB2D8A" w14:paraId="5EEBA783" w14:textId="257F5D24">
      <w:pPr>
        <w:pStyle w:val="ListParagraph"/>
        <w:keepNext/>
        <w:numPr>
          <w:ilvl w:val="1"/>
          <w:numId w:val="13"/>
        </w:numPr>
        <w:spacing w:before="124" w:line="242" w:lineRule="auto"/>
        <w:ind w:left="2127" w:right="946" w:hanging="426"/>
      </w:pPr>
      <w:r w:rsidRPr="0039739D">
        <w:t>Victoria Police (unsworn</w:t>
      </w:r>
      <w:r w:rsidRPr="00DF200C">
        <w:t xml:space="preserve"> </w:t>
      </w:r>
      <w:r w:rsidRPr="0039739D">
        <w:t>officers)</w:t>
      </w:r>
    </w:p>
    <w:p w:rsidRPr="0039739D" w:rsidR="00300BE4" w:rsidP="00A1229B" w:rsidRDefault="00CB2D8A" w14:paraId="5EEBA784" w14:textId="076B0DE2">
      <w:pPr>
        <w:pStyle w:val="ListParagraph"/>
        <w:keepNext/>
        <w:numPr>
          <w:ilvl w:val="1"/>
          <w:numId w:val="13"/>
        </w:numPr>
        <w:spacing w:before="124" w:line="242" w:lineRule="auto"/>
        <w:ind w:left="2127" w:right="946" w:hanging="426"/>
      </w:pPr>
      <w:r w:rsidRPr="0039739D">
        <w:t>the</w:t>
      </w:r>
      <w:r w:rsidRPr="00DF200C">
        <w:t xml:space="preserve"> </w:t>
      </w:r>
      <w:r w:rsidR="00ED75E0">
        <w:t>Victorian Public Sector Commission (</w:t>
      </w:r>
      <w:r w:rsidRPr="0039739D">
        <w:t>VPSC</w:t>
      </w:r>
      <w:r w:rsidR="00ED75E0">
        <w:t>)</w:t>
      </w:r>
      <w:r w:rsidRPr="0039739D">
        <w:t>.</w:t>
      </w:r>
    </w:p>
    <w:p w:rsidRPr="0039739D" w:rsidR="00300BE4" w:rsidP="00A1229B" w:rsidRDefault="00CB2D8A" w14:paraId="5EEBA787" w14:textId="15849B21">
      <w:pPr>
        <w:pStyle w:val="ListParagraph"/>
        <w:keepNext/>
        <w:numPr>
          <w:ilvl w:val="0"/>
          <w:numId w:val="13"/>
        </w:numPr>
        <w:spacing w:before="152" w:line="242" w:lineRule="auto"/>
        <w:ind w:left="1701" w:right="881" w:hanging="567"/>
      </w:pPr>
      <w:r w:rsidRPr="0039739D">
        <w:t xml:space="preserve">This policy does not apply in circumstances of </w:t>
      </w:r>
      <w:bookmarkStart w:name="_Int_QAbxpkO5" w:id="8"/>
      <w:r w:rsidRPr="0039739D">
        <w:t>restructures</w:t>
      </w:r>
      <w:bookmarkEnd w:id="8"/>
      <w:r w:rsidRPr="0039739D">
        <w:t xml:space="preserve">, the prioritisation of work or changes to the size or composition of a workforce. In these cases, internal job matching and </w:t>
      </w:r>
      <w:bookmarkStart w:name="_Int_4WSGacRg" w:id="9"/>
      <w:r w:rsidRPr="0039739D">
        <w:t>EOI</w:t>
      </w:r>
      <w:bookmarkEnd w:id="9"/>
      <w:r w:rsidRPr="0039739D">
        <w:t xml:space="preserve"> merit processes </w:t>
      </w:r>
      <w:r w:rsidRPr="0039739D" w:rsidR="7B7F6DFE">
        <w:t>can</w:t>
      </w:r>
      <w:r w:rsidRPr="0039739D">
        <w:t xml:space="preserve"> be restricted to the affected employee group and not advertised</w:t>
      </w:r>
      <w:r w:rsidRPr="0039739D">
        <w:rPr>
          <w:spacing w:val="-4"/>
        </w:rPr>
        <w:t xml:space="preserve"> </w:t>
      </w:r>
      <w:r w:rsidRPr="0039739D">
        <w:t>on</w:t>
      </w:r>
      <w:r w:rsidRPr="0039739D">
        <w:rPr>
          <w:spacing w:val="-4"/>
        </w:rPr>
        <w:t xml:space="preserve"> </w:t>
      </w:r>
      <w:r w:rsidRPr="0039739D">
        <w:t>the</w:t>
      </w:r>
      <w:r w:rsidRPr="0039739D">
        <w:rPr>
          <w:spacing w:val="-4"/>
        </w:rPr>
        <w:t xml:space="preserve"> </w:t>
      </w:r>
      <w:r w:rsidRPr="0039739D">
        <w:t>JSE.</w:t>
      </w:r>
      <w:r w:rsidRPr="0039739D">
        <w:rPr>
          <w:spacing w:val="-4"/>
        </w:rPr>
        <w:t xml:space="preserve"> </w:t>
      </w:r>
      <w:r w:rsidRPr="0039739D">
        <w:t>If,</w:t>
      </w:r>
      <w:r w:rsidRPr="0039739D">
        <w:rPr>
          <w:spacing w:val="-4"/>
        </w:rPr>
        <w:t xml:space="preserve"> </w:t>
      </w:r>
      <w:r w:rsidRPr="0039739D">
        <w:t>at</w:t>
      </w:r>
      <w:r w:rsidRPr="0039739D">
        <w:rPr>
          <w:spacing w:val="-4"/>
        </w:rPr>
        <w:t xml:space="preserve"> </w:t>
      </w:r>
      <w:r w:rsidRPr="0039739D">
        <w:t>the</w:t>
      </w:r>
      <w:r w:rsidRPr="0039739D">
        <w:rPr>
          <w:spacing w:val="-4"/>
        </w:rPr>
        <w:t xml:space="preserve"> </w:t>
      </w:r>
      <w:r w:rsidRPr="0039739D">
        <w:t>conclusion</w:t>
      </w:r>
      <w:r w:rsidRPr="0039739D">
        <w:rPr>
          <w:spacing w:val="-4"/>
        </w:rPr>
        <w:t xml:space="preserve"> </w:t>
      </w:r>
      <w:r w:rsidRPr="0039739D">
        <w:t>of</w:t>
      </w:r>
      <w:r w:rsidRPr="0039739D">
        <w:rPr>
          <w:spacing w:val="-4"/>
        </w:rPr>
        <w:t xml:space="preserve"> </w:t>
      </w:r>
      <w:r w:rsidRPr="0039739D">
        <w:t>these</w:t>
      </w:r>
      <w:r w:rsidRPr="0039739D">
        <w:rPr>
          <w:spacing w:val="-4"/>
        </w:rPr>
        <w:t xml:space="preserve"> </w:t>
      </w:r>
      <w:r w:rsidRPr="0039739D">
        <w:t>processes,</w:t>
      </w:r>
      <w:r w:rsidRPr="0039739D">
        <w:rPr>
          <w:spacing w:val="-4"/>
        </w:rPr>
        <w:t xml:space="preserve"> </w:t>
      </w:r>
      <w:r w:rsidRPr="0039739D">
        <w:t>there</w:t>
      </w:r>
      <w:r w:rsidRPr="0039739D">
        <w:rPr>
          <w:spacing w:val="-4"/>
        </w:rPr>
        <w:t xml:space="preserve"> </w:t>
      </w:r>
      <w:r w:rsidRPr="0039739D">
        <w:t>are</w:t>
      </w:r>
      <w:r w:rsidRPr="0039739D">
        <w:rPr>
          <w:spacing w:val="-4"/>
        </w:rPr>
        <w:t xml:space="preserve"> </w:t>
      </w:r>
      <w:r w:rsidRPr="0039739D">
        <w:t>vacant</w:t>
      </w:r>
      <w:r w:rsidRPr="0039739D">
        <w:rPr>
          <w:spacing w:val="-4"/>
        </w:rPr>
        <w:t xml:space="preserve"> </w:t>
      </w:r>
      <w:r w:rsidRPr="0039739D">
        <w:t>positions that could not be filled by affected employees, those jobs must be advertised on the</w:t>
      </w:r>
      <w:r w:rsidRPr="0039739D">
        <w:rPr>
          <w:spacing w:val="-40"/>
        </w:rPr>
        <w:t xml:space="preserve"> </w:t>
      </w:r>
      <w:r w:rsidRPr="0039739D">
        <w:t>JSE</w:t>
      </w:r>
      <w:r w:rsidR="008C018D">
        <w:t xml:space="preserve"> in accordance with this policy</w:t>
      </w:r>
      <w:r w:rsidRPr="0039739D">
        <w:t>.</w:t>
      </w:r>
    </w:p>
    <w:p w:rsidRPr="0039739D" w:rsidR="00300BE4" w:rsidP="00A1229B" w:rsidRDefault="00CB2D8A" w14:paraId="5EEBA791" w14:textId="77777777">
      <w:pPr>
        <w:pStyle w:val="Heading2"/>
        <w:keepNext/>
        <w:numPr>
          <w:ilvl w:val="1"/>
          <w:numId w:val="9"/>
        </w:numPr>
        <w:spacing w:before="120" w:after="120"/>
        <w:ind w:left="1701" w:hanging="567"/>
      </w:pPr>
      <w:bookmarkStart w:name="_Toc122516990" w:id="10"/>
      <w:r w:rsidRPr="0039739D">
        <w:rPr>
          <w:color w:val="217F4B"/>
        </w:rPr>
        <w:t>JSE advertising</w:t>
      </w:r>
      <w:r w:rsidRPr="0039739D">
        <w:rPr>
          <w:color w:val="217F4B"/>
          <w:spacing w:val="-1"/>
        </w:rPr>
        <w:t xml:space="preserve"> </w:t>
      </w:r>
      <w:r w:rsidRPr="0039739D">
        <w:rPr>
          <w:color w:val="217F4B"/>
        </w:rPr>
        <w:t>period</w:t>
      </w:r>
      <w:bookmarkEnd w:id="10"/>
    </w:p>
    <w:p w:rsidRPr="0039739D" w:rsidR="0010294E" w:rsidP="00A1229B" w:rsidRDefault="00CB2D8A" w14:paraId="668FA57F" w14:textId="6CD72A96">
      <w:pPr>
        <w:pStyle w:val="ListParagraph"/>
        <w:keepNext/>
        <w:numPr>
          <w:ilvl w:val="0"/>
          <w:numId w:val="13"/>
        </w:numPr>
        <w:spacing w:before="124" w:line="242" w:lineRule="auto"/>
        <w:ind w:left="1701" w:right="870" w:hanging="567"/>
      </w:pPr>
      <w:r w:rsidRPr="0039739D">
        <w:t>Opportunities longer than six</w:t>
      </w:r>
      <w:r w:rsidR="008C018D">
        <w:t xml:space="preserve"> (6)</w:t>
      </w:r>
      <w:r w:rsidRPr="0039739D">
        <w:t xml:space="preserve"> months must be advertised on the JSE for a minimum of 10 business days (and must include two weekends). This approach strikes the balance between the need for fairness in allowing interested candidates enough time to submit their applications with the desire of hiring managers to be able to fill positions without unnecessary delay and will be supported by JSE ‘Job Alerts’ to give potential candidates timely email notification of the job</w:t>
      </w:r>
      <w:r w:rsidRPr="0039739D">
        <w:rPr>
          <w:spacing w:val="-8"/>
        </w:rPr>
        <w:t xml:space="preserve"> </w:t>
      </w:r>
      <w:r w:rsidRPr="0039739D">
        <w:t>advertisement.</w:t>
      </w:r>
    </w:p>
    <w:p w:rsidRPr="0039739D" w:rsidR="0010294E" w:rsidDel="00DE0122" w:rsidP="00A1229B" w:rsidRDefault="0010294E" w14:paraId="35D3E3B6" w14:textId="73B78114">
      <w:pPr>
        <w:pStyle w:val="ListParagraph"/>
        <w:keepNext/>
        <w:numPr>
          <w:ilvl w:val="0"/>
          <w:numId w:val="13"/>
        </w:numPr>
        <w:spacing w:before="124" w:line="242" w:lineRule="auto"/>
        <w:ind w:left="1701" w:right="870" w:hanging="567"/>
      </w:pPr>
      <w:r w:rsidDel="00DE0122">
        <w:t xml:space="preserve">If short-term opportunities of up to </w:t>
      </w:r>
      <w:r w:rsidR="008C018D">
        <w:t>six (</w:t>
      </w:r>
      <w:r w:rsidDel="00DE0122">
        <w:t>6</w:t>
      </w:r>
      <w:r w:rsidR="008C018D">
        <w:t>)</w:t>
      </w:r>
      <w:r w:rsidDel="00DE0122">
        <w:t xml:space="preserve"> months are advertised through the JSE, the roles must be advertised for </w:t>
      </w:r>
      <w:r w:rsidDel="00DE0122" w:rsidR="09AF631D">
        <w:t>seven days</w:t>
      </w:r>
      <w:r w:rsidDel="00DE0122" w:rsidR="006D3F84">
        <w:t xml:space="preserve"> (</w:t>
      </w:r>
      <w:r w:rsidDel="00DE0122">
        <w:t>including one weekend).</w:t>
      </w:r>
    </w:p>
    <w:p w:rsidRPr="0039739D" w:rsidR="00300BE4" w:rsidP="00A1229B" w:rsidRDefault="00CB2D8A" w14:paraId="5EEBA794" w14:textId="7CE962FE">
      <w:pPr>
        <w:pStyle w:val="ListParagraph"/>
        <w:keepNext/>
        <w:numPr>
          <w:ilvl w:val="0"/>
          <w:numId w:val="13"/>
        </w:numPr>
        <w:spacing w:before="153" w:line="242" w:lineRule="auto"/>
        <w:ind w:left="1701" w:right="893" w:hanging="567"/>
      </w:pPr>
      <w:r w:rsidRPr="0039739D">
        <w:t xml:space="preserve">If a successful candidate resigns from a position within three </w:t>
      </w:r>
      <w:r w:rsidR="008C018D">
        <w:t xml:space="preserve">(3) </w:t>
      </w:r>
      <w:r w:rsidRPr="0039739D">
        <w:t xml:space="preserve">months of the role being advertised, hiring managers are permitted to fill the vacancy with the next most suitable candidate from the recruitment process for that exact role. If no other suitable candidate </w:t>
      </w:r>
      <w:bookmarkStart w:name="_Int_XGQuFmap" w:id="11"/>
      <w:r w:rsidRPr="0039739D">
        <w:t>was</w:t>
      </w:r>
      <w:bookmarkEnd w:id="11"/>
      <w:r w:rsidRPr="0039739D">
        <w:t xml:space="preserve"> found, hiring managers must readvertise through the</w:t>
      </w:r>
      <w:r w:rsidRPr="0039739D">
        <w:rPr>
          <w:spacing w:val="-16"/>
        </w:rPr>
        <w:t xml:space="preserve"> </w:t>
      </w:r>
      <w:r w:rsidRPr="0039739D">
        <w:t>JSE</w:t>
      </w:r>
      <w:r w:rsidR="000F563B">
        <w:t xml:space="preserve">, but may seek </w:t>
      </w:r>
      <w:bookmarkStart w:name="_Int_w58J8Te0" w:id="12"/>
      <w:r w:rsidR="000F563B">
        <w:t xml:space="preserve">an </w:t>
      </w:r>
      <w:r w:rsidR="005228F6">
        <w:t>approval</w:t>
      </w:r>
      <w:bookmarkEnd w:id="12"/>
      <w:r w:rsidR="015AD67D">
        <w:t xml:space="preserve"> </w:t>
      </w:r>
      <w:r w:rsidR="000F563B">
        <w:t xml:space="preserve">from the relevant Secretary </w:t>
      </w:r>
      <w:r w:rsidR="143B51BB">
        <w:t xml:space="preserve">(or equivalent) </w:t>
      </w:r>
      <w:r w:rsidR="000F563B">
        <w:t>for concurrent external advertising</w:t>
      </w:r>
      <w:r w:rsidRPr="0039739D">
        <w:t>.</w:t>
      </w:r>
    </w:p>
    <w:p w:rsidRPr="0039739D" w:rsidR="00300BE4" w:rsidP="00A1229B" w:rsidRDefault="00CB2D8A" w14:paraId="5EEBA795" w14:textId="77777777">
      <w:pPr>
        <w:pStyle w:val="ListParagraph"/>
        <w:keepNext/>
        <w:numPr>
          <w:ilvl w:val="0"/>
          <w:numId w:val="13"/>
        </w:numPr>
        <w:spacing w:line="244" w:lineRule="auto"/>
        <w:ind w:left="1701" w:right="1068" w:hanging="557"/>
      </w:pPr>
      <w:r w:rsidRPr="0039739D">
        <w:t>Hiring managers are permitted to fill a new vacancy with a candidate deemed the next most suitable in a previous recruitment process if all the following criteria are</w:t>
      </w:r>
      <w:r w:rsidRPr="0039739D">
        <w:rPr>
          <w:spacing w:val="-29"/>
        </w:rPr>
        <w:t xml:space="preserve"> </w:t>
      </w:r>
      <w:r w:rsidRPr="0039739D">
        <w:t>met:</w:t>
      </w:r>
    </w:p>
    <w:p w:rsidRPr="0039739D" w:rsidR="00300BE4" w:rsidP="00A1229B" w:rsidRDefault="00CB2D8A" w14:paraId="5EEBA796" w14:textId="74BE3D16">
      <w:pPr>
        <w:pStyle w:val="ListParagraph"/>
        <w:keepNext/>
        <w:numPr>
          <w:ilvl w:val="1"/>
          <w:numId w:val="13"/>
        </w:numPr>
        <w:spacing w:before="124" w:line="242" w:lineRule="auto"/>
        <w:ind w:left="2127" w:right="946" w:hanging="426"/>
      </w:pPr>
      <w:r w:rsidRPr="0039739D">
        <w:t xml:space="preserve">the hiring manager selects a </w:t>
      </w:r>
      <w:r w:rsidR="6844F731">
        <w:t>ca</w:t>
      </w:r>
      <w:r w:rsidR="33CA5B5A">
        <w:t>ndid</w:t>
      </w:r>
      <w:r w:rsidR="6844F731">
        <w:t>ate</w:t>
      </w:r>
      <w:r w:rsidRPr="0039739D">
        <w:t xml:space="preserve"> no later than three </w:t>
      </w:r>
      <w:r w:rsidR="008C018D">
        <w:t xml:space="preserve">(3) </w:t>
      </w:r>
      <w:r w:rsidRPr="0039739D">
        <w:t>months after</w:t>
      </w:r>
      <w:r w:rsidRPr="00DF200C">
        <w:t xml:space="preserve"> </w:t>
      </w:r>
      <w:r w:rsidRPr="0039739D">
        <w:t>the conclusion of the previous recruitment</w:t>
      </w:r>
      <w:r w:rsidRPr="00DF200C">
        <w:t xml:space="preserve"> </w:t>
      </w:r>
      <w:proofErr w:type="gramStart"/>
      <w:r w:rsidRPr="0039739D">
        <w:t>process</w:t>
      </w:r>
      <w:proofErr w:type="gramEnd"/>
    </w:p>
    <w:p w:rsidR="00300BE4" w:rsidP="00A1229B" w:rsidRDefault="00CB2D8A" w14:paraId="5EEBA797" w14:textId="72FBAC06">
      <w:pPr>
        <w:pStyle w:val="ListParagraph"/>
        <w:keepNext/>
        <w:numPr>
          <w:ilvl w:val="1"/>
          <w:numId w:val="13"/>
        </w:numPr>
        <w:spacing w:before="124" w:line="242" w:lineRule="auto"/>
        <w:ind w:left="2127" w:right="946" w:hanging="426"/>
      </w:pPr>
      <w:r w:rsidRPr="0039739D">
        <w:t xml:space="preserve">both the vacant role and the previously advertised role are </w:t>
      </w:r>
      <w:r w:rsidR="00670A1D">
        <w:t xml:space="preserve">at </w:t>
      </w:r>
      <w:r w:rsidRPr="0039739D">
        <w:t>the same VPS</w:t>
      </w:r>
      <w:r w:rsidRPr="00DF200C">
        <w:t xml:space="preserve"> </w:t>
      </w:r>
      <w:r w:rsidR="00670A1D">
        <w:t xml:space="preserve">classification </w:t>
      </w:r>
      <w:r w:rsidRPr="0039739D">
        <w:t>level</w:t>
      </w:r>
    </w:p>
    <w:p w:rsidRPr="0039739D" w:rsidR="00D23DDA" w:rsidP="00A1229B" w:rsidRDefault="002E7530" w14:paraId="021359B8" w14:textId="74B8E441">
      <w:pPr>
        <w:pStyle w:val="ListParagraph"/>
        <w:keepNext/>
        <w:numPr>
          <w:ilvl w:val="1"/>
          <w:numId w:val="13"/>
        </w:numPr>
        <w:spacing w:before="124" w:line="242" w:lineRule="auto"/>
        <w:ind w:left="2127" w:right="946" w:hanging="426"/>
      </w:pPr>
      <w:r>
        <w:t xml:space="preserve">the employment category of the new vacancy must match (or be no more beneficial) than the previously advertised role. For example, if the previous vacancy was fixed-term, the new vacancy must be fixed-term. If the previous vacancy was ongoing, the new vacancy can be ongoing or </w:t>
      </w:r>
      <w:bookmarkStart w:name="_Int_563Mc8Vi" w:id="13"/>
      <w:r>
        <w:t>fixed-</w:t>
      </w:r>
      <w:proofErr w:type="gramStart"/>
      <w:r>
        <w:t>term</w:t>
      </w:r>
      <w:bookmarkEnd w:id="13"/>
      <w:proofErr w:type="gramEnd"/>
    </w:p>
    <w:p w:rsidRPr="0039739D" w:rsidR="00300BE4" w:rsidP="00A1229B" w:rsidRDefault="00CB2D8A" w14:paraId="5EEBA798" w14:textId="0CD10920">
      <w:pPr>
        <w:pStyle w:val="ListParagraph"/>
        <w:keepNext/>
        <w:numPr>
          <w:ilvl w:val="1"/>
          <w:numId w:val="13"/>
        </w:numPr>
        <w:spacing w:before="124" w:line="242" w:lineRule="auto"/>
        <w:ind w:left="2127" w:right="946" w:hanging="426"/>
      </w:pPr>
      <w:r w:rsidRPr="0039739D">
        <w:t>the duties carried out in both roles are the same and in the same business unit</w:t>
      </w:r>
      <w:r w:rsidRPr="00DF200C">
        <w:t xml:space="preserve"> </w:t>
      </w:r>
      <w:r w:rsidRPr="0039739D">
        <w:t>(</w:t>
      </w:r>
      <w:r w:rsidRPr="0039739D" w:rsidR="001C3D6E">
        <w:t>e.g.,</w:t>
      </w:r>
      <w:r w:rsidRPr="0039739D">
        <w:t xml:space="preserve"> two youth justice workers in the same</w:t>
      </w:r>
      <w:r w:rsidRPr="00DF200C">
        <w:t xml:space="preserve"> </w:t>
      </w:r>
      <w:r w:rsidRPr="0039739D">
        <w:t>unit)</w:t>
      </w:r>
    </w:p>
    <w:p w:rsidRPr="0039739D" w:rsidR="00300BE4" w:rsidP="00A1229B" w:rsidRDefault="00CB2D8A" w14:paraId="5EEBA799" w14:textId="77777777">
      <w:pPr>
        <w:pStyle w:val="ListParagraph"/>
        <w:keepNext/>
        <w:numPr>
          <w:ilvl w:val="1"/>
          <w:numId w:val="13"/>
        </w:numPr>
        <w:spacing w:before="124" w:line="242" w:lineRule="auto"/>
        <w:ind w:left="2127" w:right="946" w:hanging="426"/>
      </w:pPr>
      <w:r w:rsidRPr="0039739D">
        <w:t>filling the vacancy in this manner is consistent with existing departmental</w:t>
      </w:r>
      <w:r w:rsidRPr="00DF200C">
        <w:t xml:space="preserve"> </w:t>
      </w:r>
      <w:r w:rsidRPr="0039739D">
        <w:t>policies.</w:t>
      </w:r>
    </w:p>
    <w:p w:rsidRPr="0039739D" w:rsidR="00214D54" w:rsidP="00214D54" w:rsidRDefault="00214D54" w14:paraId="556A32AE" w14:textId="77777777">
      <w:pPr>
        <w:pStyle w:val="ListParagraph"/>
        <w:keepNext/>
        <w:numPr>
          <w:ilvl w:val="0"/>
          <w:numId w:val="13"/>
        </w:numPr>
        <w:spacing w:line="244" w:lineRule="auto"/>
        <w:ind w:right="1068"/>
      </w:pPr>
      <w:r>
        <w:t>Direct appointments of VPS staff are permitted in circumstances including</w:t>
      </w:r>
      <w:r w:rsidRPr="0039739D">
        <w:t>:</w:t>
      </w:r>
    </w:p>
    <w:p w:rsidR="00615B6C" w:rsidP="00615B6C" w:rsidRDefault="00214D54" w14:paraId="662726DC" w14:textId="77777777">
      <w:pPr>
        <w:pStyle w:val="ListParagraph"/>
        <w:keepNext/>
        <w:numPr>
          <w:ilvl w:val="1"/>
          <w:numId w:val="13"/>
        </w:numPr>
        <w:spacing w:before="124" w:line="242" w:lineRule="auto"/>
        <w:ind w:left="2127" w:right="946" w:hanging="426"/>
      </w:pPr>
      <w:r>
        <w:t>For roles up to 12 weeks’ duration when standing up new teams in times of urgency and when the ongoing composition of the team is still being determined. Roles longer than 12 weeks must be advertised through the JSE. Once the team composition is determined, all roles must be advertised on the JSE.</w:t>
      </w:r>
    </w:p>
    <w:p w:rsidRPr="000A50C6" w:rsidR="1B23D02A" w:rsidP="000A50C6" w:rsidRDefault="7858E6F4" w14:paraId="500D5533" w14:textId="4B4C24A9">
      <w:pPr>
        <w:pStyle w:val="ListParagraph"/>
        <w:keepNext/>
        <w:numPr>
          <w:ilvl w:val="1"/>
          <w:numId w:val="13"/>
        </w:numPr>
        <w:spacing w:before="124" w:line="242" w:lineRule="auto"/>
        <w:ind w:left="2127" w:right="946" w:hanging="426"/>
      </w:pPr>
      <w:r w:rsidRPr="1B23D02A">
        <w:t xml:space="preserve">Where an employee’s fixed-term employment in the same or a substantially similar position exceeds the maximum duration or consecutive contracts, including where the contract provides for renewal more than once (even where the total period is less than two years) and the fixed-term position is converted to an ongoing position </w:t>
      </w:r>
      <w:r w:rsidRPr="00305C09">
        <w:t xml:space="preserve">because an exemption under the </w:t>
      </w:r>
      <w:r w:rsidRPr="00305C09">
        <w:rPr>
          <w:i/>
          <w:iCs/>
        </w:rPr>
        <w:t>Fair Work Act 2009</w:t>
      </w:r>
      <w:r w:rsidRPr="00305C09">
        <w:t xml:space="preserve"> (</w:t>
      </w:r>
      <w:proofErr w:type="spellStart"/>
      <w:r w:rsidRPr="00305C09">
        <w:t>Cth</w:t>
      </w:r>
      <w:proofErr w:type="spellEnd"/>
      <w:r w:rsidRPr="00305C09">
        <w:t>)</w:t>
      </w:r>
      <w:r w:rsidRPr="00305C09">
        <w:rPr>
          <w:i/>
          <w:iCs/>
        </w:rPr>
        <w:t xml:space="preserve"> </w:t>
      </w:r>
      <w:r w:rsidRPr="00305C09">
        <w:t>does not apply.</w:t>
      </w:r>
    </w:p>
    <w:p w:rsidR="1B23D02A" w:rsidP="00305C09" w:rsidRDefault="1B23D02A" w14:paraId="7643889C" w14:textId="6B1E1423">
      <w:pPr>
        <w:pStyle w:val="ListParagraph"/>
        <w:keepNext/>
        <w:spacing w:before="124" w:line="242" w:lineRule="auto"/>
        <w:ind w:left="2127" w:right="946" w:firstLine="0"/>
      </w:pPr>
    </w:p>
    <w:p w:rsidRPr="0039739D" w:rsidR="00300BE4" w:rsidP="00A1229B" w:rsidRDefault="00CB2D8A" w14:paraId="5EEBA79D" w14:textId="77777777">
      <w:pPr>
        <w:pStyle w:val="Heading2"/>
        <w:keepNext/>
        <w:numPr>
          <w:ilvl w:val="1"/>
          <w:numId w:val="9"/>
        </w:numPr>
        <w:spacing w:before="120" w:after="120"/>
        <w:ind w:left="1701" w:hanging="567"/>
      </w:pPr>
      <w:bookmarkStart w:name="_Toc122516991" w:id="14"/>
      <w:r w:rsidRPr="0039739D">
        <w:rPr>
          <w:color w:val="217F4B"/>
        </w:rPr>
        <w:t>Robust and fit for purpose assessment of</w:t>
      </w:r>
      <w:r w:rsidRPr="0039739D">
        <w:rPr>
          <w:color w:val="217F4B"/>
          <w:spacing w:val="-3"/>
        </w:rPr>
        <w:t xml:space="preserve"> </w:t>
      </w:r>
      <w:proofErr w:type="gramStart"/>
      <w:r w:rsidRPr="0039739D">
        <w:rPr>
          <w:color w:val="217F4B"/>
        </w:rPr>
        <w:t>candidates</w:t>
      </w:r>
      <w:bookmarkEnd w:id="14"/>
      <w:proofErr w:type="gramEnd"/>
    </w:p>
    <w:p w:rsidRPr="0039739D" w:rsidR="00300BE4" w:rsidP="00A1229B" w:rsidRDefault="00CB2D8A" w14:paraId="5EEBA79E" w14:textId="33A77161">
      <w:pPr>
        <w:pStyle w:val="ListParagraph"/>
        <w:keepNext/>
        <w:numPr>
          <w:ilvl w:val="0"/>
          <w:numId w:val="13"/>
        </w:numPr>
        <w:spacing w:before="123" w:line="242" w:lineRule="auto"/>
        <w:ind w:left="1701" w:right="1110" w:hanging="567"/>
      </w:pPr>
      <w:r>
        <w:t xml:space="preserve">This advertising period must be followed by a robust and </w:t>
      </w:r>
      <w:bookmarkStart w:name="_Int_WUCoLILZ" w:id="15"/>
      <w:r>
        <w:t>fit for purpose</w:t>
      </w:r>
      <w:bookmarkEnd w:id="15"/>
      <w:r>
        <w:t xml:space="preserve"> assessment of applications applying merit selection principles, as set out in the Robust Assessment Guidelines</w:t>
      </w:r>
      <w:r w:rsidR="007D6049">
        <w:t xml:space="preserve"> (RA Guidelines)</w:t>
      </w:r>
      <w:r>
        <w:t>.</w:t>
      </w:r>
    </w:p>
    <w:p w:rsidR="00E3387F" w:rsidP="00E3387F" w:rsidRDefault="00CB2D8A" w14:paraId="3B2CD025" w14:textId="14F422DE">
      <w:pPr>
        <w:pStyle w:val="ListParagraph"/>
        <w:keepNext/>
        <w:numPr>
          <w:ilvl w:val="0"/>
          <w:numId w:val="13"/>
        </w:numPr>
        <w:spacing w:before="161" w:line="242" w:lineRule="auto"/>
        <w:ind w:left="1701" w:right="969" w:hanging="567"/>
      </w:pPr>
      <w:r w:rsidRPr="0039739D">
        <w:t xml:space="preserve">The </w:t>
      </w:r>
      <w:r w:rsidR="007D6049">
        <w:t xml:space="preserve">RA </w:t>
      </w:r>
      <w:r w:rsidRPr="0039739D">
        <w:t xml:space="preserve">Guidelines include how redeployees will be </w:t>
      </w:r>
      <w:bookmarkStart w:name="_Int_uelIaYEe" w:id="16"/>
      <w:r w:rsidRPr="0039739D">
        <w:t>prioritised</w:t>
      </w:r>
      <w:bookmarkEnd w:id="16"/>
      <w:r w:rsidRPr="0039739D">
        <w:t xml:space="preserve"> for </w:t>
      </w:r>
      <w:r w:rsidR="00897480">
        <w:t>vacancies</w:t>
      </w:r>
      <w:r w:rsidRPr="0039739D">
        <w:t>, and ways in which preferred/highly suitable candidates can be supported (</w:t>
      </w:r>
      <w:r w:rsidRPr="0039739D" w:rsidR="001C3D6E">
        <w:t>e.g.,</w:t>
      </w:r>
      <w:r w:rsidRPr="0039739D">
        <w:t xml:space="preserve"> through mentoring, coaching and skills development) to be successful in their</w:t>
      </w:r>
      <w:r w:rsidRPr="0039739D">
        <w:rPr>
          <w:spacing w:val="-13"/>
        </w:rPr>
        <w:t xml:space="preserve"> </w:t>
      </w:r>
      <w:r w:rsidRPr="0039739D">
        <w:t>roles.</w:t>
      </w:r>
      <w:r w:rsidR="00520BA3">
        <w:t xml:space="preserve"> </w:t>
      </w:r>
      <w:r w:rsidRPr="00DC6851" w:rsidR="00DC6851">
        <w:t xml:space="preserve">If redeployment is not achieved at the end of the Redeployment Period, redeployees who have left the VPS can </w:t>
      </w:r>
      <w:r w:rsidR="0096701F">
        <w:t xml:space="preserve">have </w:t>
      </w:r>
      <w:r w:rsidRPr="00DC6851" w:rsidR="00DC6851">
        <w:t xml:space="preserve">access to the JSE </w:t>
      </w:r>
      <w:r w:rsidR="0096701F">
        <w:t xml:space="preserve">per </w:t>
      </w:r>
      <w:r w:rsidR="00F329F4">
        <w:t>S</w:t>
      </w:r>
      <w:r w:rsidR="0096701F">
        <w:t>ection 2.5</w:t>
      </w:r>
      <w:r w:rsidR="00F329F4">
        <w:t xml:space="preserve"> </w:t>
      </w:r>
      <w:r w:rsidR="002C42DC">
        <w:t>(</w:t>
      </w:r>
      <w:r w:rsidR="0043091F">
        <w:t xml:space="preserve">JSE access and </w:t>
      </w:r>
      <w:r w:rsidRPr="005900D5" w:rsidR="0043091F">
        <w:t>eli</w:t>
      </w:r>
      <w:r w:rsidRPr="005900D5" w:rsidR="005900D5">
        <w:t>gi</w:t>
      </w:r>
      <w:r w:rsidRPr="005900D5" w:rsidR="0043091F">
        <w:t>bility</w:t>
      </w:r>
      <w:r w:rsidRPr="005900D5" w:rsidR="002C42DC">
        <w:t>)</w:t>
      </w:r>
      <w:r w:rsidR="0043091F">
        <w:t xml:space="preserve"> </w:t>
      </w:r>
      <w:r w:rsidR="00FF72FC">
        <w:t xml:space="preserve">and </w:t>
      </w:r>
      <w:r w:rsidR="00505EA6">
        <w:t xml:space="preserve">are eligible to apply for roles through the JSE. However, </w:t>
      </w:r>
      <w:r w:rsidR="00163CB9">
        <w:t xml:space="preserve">they </w:t>
      </w:r>
      <w:r w:rsidR="00704812">
        <w:t xml:space="preserve">are </w:t>
      </w:r>
      <w:r w:rsidR="00E3387F">
        <w:t xml:space="preserve">not </w:t>
      </w:r>
      <w:r w:rsidR="00704812">
        <w:t>required</w:t>
      </w:r>
      <w:r w:rsidR="00520BA3">
        <w:t xml:space="preserve"> to be prioritised for roles</w:t>
      </w:r>
      <w:r w:rsidR="00E3387F">
        <w:t>.</w:t>
      </w:r>
    </w:p>
    <w:p w:rsidRPr="00E44852" w:rsidR="00E44852" w:rsidP="00A1229B" w:rsidRDefault="00AC483A" w14:paraId="62E4DA3D" w14:textId="5C21AEFC">
      <w:pPr>
        <w:pStyle w:val="ListParagraph"/>
        <w:keepNext/>
        <w:numPr>
          <w:ilvl w:val="0"/>
          <w:numId w:val="13"/>
        </w:numPr>
        <w:spacing w:before="161" w:line="242" w:lineRule="auto"/>
        <w:ind w:left="1701" w:right="969" w:hanging="567"/>
      </w:pPr>
      <w:r>
        <w:t>A VPS employee who indicates that they are subject to a change process related to their current employment and that their role has been declared surplus must be given</w:t>
      </w:r>
      <w:r w:rsidR="00694903">
        <w:t xml:space="preserve"> priority access to vacancies that occur within the public service</w:t>
      </w:r>
      <w:r>
        <w:t xml:space="preserve"> consistent with Schedule A of the </w:t>
      </w:r>
      <w:r w:rsidRPr="1B23D02A">
        <w:rPr>
          <w:i/>
          <w:iCs/>
        </w:rPr>
        <w:t>Victorian Public Service Enterprise Agreement 2020</w:t>
      </w:r>
      <w:r w:rsidRPr="1B23D02A" w:rsidR="00BD0E55">
        <w:rPr>
          <w:i/>
          <w:iCs/>
        </w:rPr>
        <w:t xml:space="preserve">, </w:t>
      </w:r>
      <w:r w:rsidR="00BD0E55">
        <w:t xml:space="preserve">the </w:t>
      </w:r>
      <w:r w:rsidR="0096701F">
        <w:t xml:space="preserve">Redeployment </w:t>
      </w:r>
      <w:r w:rsidR="0047450A">
        <w:t>C</w:t>
      </w:r>
      <w:r w:rsidR="0096701F">
        <w:t>ommon Policy</w:t>
      </w:r>
      <w:r>
        <w:t>, and the Public Sector Industrial Relations Policies 2015.</w:t>
      </w:r>
    </w:p>
    <w:p w:rsidRPr="0039739D" w:rsidR="00300BE4" w:rsidP="00A1229B" w:rsidRDefault="00CB2D8A" w14:paraId="5EEBA7A5" w14:textId="74BE6CF0">
      <w:pPr>
        <w:pStyle w:val="Heading2"/>
        <w:keepNext/>
        <w:numPr>
          <w:ilvl w:val="1"/>
          <w:numId w:val="7"/>
        </w:numPr>
        <w:spacing w:before="120" w:after="120"/>
        <w:ind w:left="1701" w:hanging="567"/>
      </w:pPr>
      <w:bookmarkStart w:name="_Toc122516992" w:id="17"/>
      <w:r w:rsidRPr="0039739D">
        <w:rPr>
          <w:color w:val="217F4B"/>
        </w:rPr>
        <w:t>Approval for external advertisement in parallel with the</w:t>
      </w:r>
      <w:r w:rsidRPr="0039739D">
        <w:rPr>
          <w:color w:val="217F4B"/>
          <w:spacing w:val="-3"/>
        </w:rPr>
        <w:t xml:space="preserve"> </w:t>
      </w:r>
      <w:r w:rsidRPr="0039739D">
        <w:rPr>
          <w:color w:val="217F4B"/>
        </w:rPr>
        <w:t>JSE</w:t>
      </w:r>
      <w:bookmarkEnd w:id="17"/>
    </w:p>
    <w:p w:rsidRPr="006D3F84" w:rsidR="00300BE4" w:rsidP="00A1229B" w:rsidRDefault="00CB2D8A" w14:paraId="5EEBA7A6" w14:textId="640ADF0F">
      <w:pPr>
        <w:pStyle w:val="ListParagraph"/>
        <w:keepNext/>
        <w:numPr>
          <w:ilvl w:val="0"/>
          <w:numId w:val="13"/>
        </w:numPr>
        <w:spacing w:before="124" w:line="242" w:lineRule="auto"/>
        <w:ind w:left="1701" w:right="948" w:hanging="567"/>
      </w:pPr>
      <w:r w:rsidRPr="0039739D">
        <w:t xml:space="preserve">If a </w:t>
      </w:r>
      <w:r w:rsidRPr="006D3F84">
        <w:t xml:space="preserve">suitable candidate is not found after this assessment, approval from the Secretary </w:t>
      </w:r>
      <w:r w:rsidRPr="006D3F84" w:rsidR="6744C9AD">
        <w:t>(</w:t>
      </w:r>
      <w:r w:rsidRPr="006D3F84">
        <w:t>or equivalent</w:t>
      </w:r>
      <w:r w:rsidRPr="006D3F84" w:rsidR="5D317BAC">
        <w:t>)</w:t>
      </w:r>
      <w:r w:rsidRPr="006D3F84" w:rsidDel="00CB2D8A" w:rsidR="52E036EC">
        <w:t xml:space="preserve"> </w:t>
      </w:r>
      <w:r w:rsidRPr="006D3F84">
        <w:t>must be sought to commence external recruitment for the</w:t>
      </w:r>
      <w:r w:rsidRPr="006D3F84">
        <w:rPr>
          <w:spacing w:val="-8"/>
        </w:rPr>
        <w:t xml:space="preserve"> </w:t>
      </w:r>
      <w:r w:rsidRPr="006D3F84">
        <w:t>role.</w:t>
      </w:r>
    </w:p>
    <w:p w:rsidRPr="006D3F84" w:rsidR="00300BE4" w:rsidP="00A1229B" w:rsidRDefault="00CB2D8A" w14:paraId="5EEBA7A7" w14:textId="4EE8E1BB">
      <w:pPr>
        <w:pStyle w:val="ListParagraph"/>
        <w:keepNext/>
        <w:numPr>
          <w:ilvl w:val="0"/>
          <w:numId w:val="13"/>
        </w:numPr>
        <w:spacing w:before="156" w:line="242" w:lineRule="auto"/>
        <w:ind w:left="1701" w:right="1087" w:hanging="567"/>
      </w:pPr>
      <w:r w:rsidRPr="006D3F84">
        <w:t xml:space="preserve">The Secretary </w:t>
      </w:r>
      <w:r w:rsidRPr="006D3F84" w:rsidDel="00CB2D8A">
        <w:t xml:space="preserve">(or equivalent) </w:t>
      </w:r>
      <w:r w:rsidRPr="006D3F84">
        <w:t xml:space="preserve">may pre-approve (before the role is advertised through the JSE) a specific role for external advertising </w:t>
      </w:r>
      <w:bookmarkStart w:name="_Int_kmSnx4ct" w:id="18"/>
      <w:proofErr w:type="gramStart"/>
      <w:r w:rsidRPr="006D3F84">
        <w:t>in the event that</w:t>
      </w:r>
      <w:bookmarkEnd w:id="18"/>
      <w:proofErr w:type="gramEnd"/>
      <w:r w:rsidRPr="006D3F84">
        <w:t xml:space="preserve"> it </w:t>
      </w:r>
      <w:r w:rsidRPr="006D3F84" w:rsidR="00F75ECC">
        <w:t>is anticipated that it will</w:t>
      </w:r>
      <w:r w:rsidRPr="006D3F84" w:rsidR="00B73534">
        <w:t xml:space="preserve"> </w:t>
      </w:r>
      <w:r w:rsidRPr="006D3F84">
        <w:t>not receive any applications through the JSE. Pre- approval should be on a case-by-case</w:t>
      </w:r>
      <w:r w:rsidRPr="006D3F84">
        <w:rPr>
          <w:spacing w:val="-7"/>
        </w:rPr>
        <w:t xml:space="preserve"> </w:t>
      </w:r>
      <w:r w:rsidRPr="006D3F84">
        <w:t>basis.</w:t>
      </w:r>
    </w:p>
    <w:p w:rsidRPr="0039739D" w:rsidR="00300BE4" w:rsidP="00A1229B" w:rsidRDefault="00CB2D8A" w14:paraId="5EEBA7A8" w14:textId="54A5404B">
      <w:pPr>
        <w:pStyle w:val="ListParagraph"/>
        <w:numPr>
          <w:ilvl w:val="0"/>
          <w:numId w:val="13"/>
        </w:numPr>
        <w:ind w:left="1701" w:hanging="567"/>
      </w:pPr>
      <w:r w:rsidRPr="0039739D">
        <w:t>This external advertisement must occur in parallel with re-advertising on the</w:t>
      </w:r>
      <w:r w:rsidRPr="0039739D">
        <w:rPr>
          <w:spacing w:val="-18"/>
        </w:rPr>
        <w:t xml:space="preserve"> </w:t>
      </w:r>
      <w:r w:rsidRPr="0039739D">
        <w:t>JSE.</w:t>
      </w:r>
    </w:p>
    <w:p w:rsidR="00300BE4" w:rsidP="00A1229B" w:rsidRDefault="003C2BC7" w14:paraId="5EEBA7A9" w14:textId="74E8479F">
      <w:pPr>
        <w:pStyle w:val="ListParagraph"/>
        <w:numPr>
          <w:ilvl w:val="0"/>
          <w:numId w:val="13"/>
        </w:numPr>
        <w:spacing w:before="164" w:line="242" w:lineRule="auto"/>
        <w:ind w:left="1701" w:right="1197" w:hanging="567"/>
      </w:pPr>
      <w:r>
        <w:t>A request for e</w:t>
      </w:r>
      <w:r w:rsidR="00A2603C">
        <w:t xml:space="preserve">xternal advertising requires </w:t>
      </w:r>
      <w:r w:rsidRPr="0039739D" w:rsidR="00CB2D8A">
        <w:t>a clear evidence-base and explanation for why no suitable applicant was found within the VPS, making direct reference to the RA Guidelines and the principle of recruiting for growth</w:t>
      </w:r>
      <w:r w:rsidRPr="0039739D" w:rsidR="00CB2D8A">
        <w:rPr>
          <w:spacing w:val="-18"/>
        </w:rPr>
        <w:t xml:space="preserve"> </w:t>
      </w:r>
      <w:r w:rsidRPr="0039739D" w:rsidR="00CB2D8A">
        <w:t>potential.</w:t>
      </w:r>
    </w:p>
    <w:p w:rsidRPr="0039739D" w:rsidR="000107A2" w:rsidP="00A1229B" w:rsidRDefault="000F119C" w14:paraId="004B8EC7" w14:textId="6D171927">
      <w:pPr>
        <w:pStyle w:val="ListParagraph"/>
        <w:numPr>
          <w:ilvl w:val="0"/>
          <w:numId w:val="13"/>
        </w:numPr>
        <w:spacing w:before="164" w:line="242" w:lineRule="auto"/>
        <w:ind w:left="1701" w:right="1197" w:hanging="567"/>
      </w:pPr>
      <w:r>
        <w:t>To promote diversity in the VPS, h</w:t>
      </w:r>
      <w:r w:rsidR="000107A2">
        <w:t xml:space="preserve">iring managers may seek approval for immediate external advertising (in parallel with advertising on the JSE </w:t>
      </w:r>
      <w:r w:rsidR="004506FD">
        <w:t>jobs board</w:t>
      </w:r>
      <w:r w:rsidR="000107A2">
        <w:t xml:space="preserve">) for roles subject to Section 12 of the </w:t>
      </w:r>
      <w:r w:rsidRPr="1B23D02A" w:rsidR="000107A2">
        <w:rPr>
          <w:i/>
          <w:iCs/>
        </w:rPr>
        <w:t>Equal Opportunity Act 2010</w:t>
      </w:r>
      <w:r w:rsidRPr="1B23D02A" w:rsidR="00DE747F">
        <w:rPr>
          <w:i/>
          <w:iCs/>
        </w:rPr>
        <w:t xml:space="preserve"> </w:t>
      </w:r>
      <w:r w:rsidR="00DE747F">
        <w:t>(Vic)</w:t>
      </w:r>
      <w:r w:rsidR="000107A2">
        <w:t>.</w:t>
      </w:r>
    </w:p>
    <w:p w:rsidR="00157C29" w:rsidP="00157C29" w:rsidRDefault="00CB2D8A" w14:paraId="48225AE3" w14:textId="77777777">
      <w:pPr>
        <w:pStyle w:val="ListParagraph"/>
        <w:numPr>
          <w:ilvl w:val="0"/>
          <w:numId w:val="13"/>
        </w:numPr>
        <w:spacing w:before="159" w:line="242" w:lineRule="auto"/>
        <w:ind w:left="1701" w:right="1191" w:hanging="567"/>
      </w:pPr>
      <w:r w:rsidRPr="0039739D">
        <w:t>In rare circumstances, hiring managers may seek approval for immediate external advertising</w:t>
      </w:r>
      <w:r w:rsidRPr="0039739D">
        <w:rPr>
          <w:spacing w:val="-4"/>
        </w:rPr>
        <w:t xml:space="preserve"> </w:t>
      </w:r>
      <w:r w:rsidRPr="0039739D">
        <w:t>(in</w:t>
      </w:r>
      <w:r w:rsidRPr="0039739D">
        <w:rPr>
          <w:spacing w:val="-4"/>
        </w:rPr>
        <w:t xml:space="preserve"> </w:t>
      </w:r>
      <w:r w:rsidRPr="0039739D">
        <w:t>parallel</w:t>
      </w:r>
      <w:r w:rsidRPr="0039739D">
        <w:rPr>
          <w:spacing w:val="-4"/>
        </w:rPr>
        <w:t xml:space="preserve"> </w:t>
      </w:r>
      <w:r w:rsidRPr="0039739D">
        <w:t>with</w:t>
      </w:r>
      <w:r w:rsidRPr="0039739D">
        <w:rPr>
          <w:spacing w:val="-4"/>
        </w:rPr>
        <w:t xml:space="preserve"> </w:t>
      </w:r>
      <w:r w:rsidRPr="0039739D">
        <w:t>advertising</w:t>
      </w:r>
      <w:r w:rsidRPr="0039739D">
        <w:rPr>
          <w:spacing w:val="-4"/>
        </w:rPr>
        <w:t xml:space="preserve"> </w:t>
      </w:r>
      <w:r w:rsidRPr="0039739D">
        <w:t>on</w:t>
      </w:r>
      <w:r w:rsidRPr="0039739D">
        <w:rPr>
          <w:spacing w:val="-4"/>
        </w:rPr>
        <w:t xml:space="preserve"> </w:t>
      </w:r>
      <w:r w:rsidRPr="0039739D">
        <w:t>the</w:t>
      </w:r>
      <w:r w:rsidRPr="0039739D">
        <w:rPr>
          <w:spacing w:val="-4"/>
        </w:rPr>
        <w:t xml:space="preserve"> </w:t>
      </w:r>
      <w:r w:rsidRPr="0039739D">
        <w:t>JSE</w:t>
      </w:r>
      <w:r w:rsidRPr="0039739D">
        <w:rPr>
          <w:spacing w:val="-4"/>
        </w:rPr>
        <w:t xml:space="preserve"> </w:t>
      </w:r>
      <w:r w:rsidR="004506FD">
        <w:t>jobs board</w:t>
      </w:r>
      <w:r w:rsidRPr="0039739D">
        <w:t>),</w:t>
      </w:r>
      <w:r w:rsidRPr="0039739D">
        <w:rPr>
          <w:spacing w:val="-4"/>
        </w:rPr>
        <w:t xml:space="preserve"> </w:t>
      </w:r>
      <w:r w:rsidRPr="0039739D">
        <w:t>when</w:t>
      </w:r>
      <w:r w:rsidRPr="0039739D">
        <w:rPr>
          <w:spacing w:val="-4"/>
        </w:rPr>
        <w:t xml:space="preserve"> </w:t>
      </w:r>
      <w:r w:rsidRPr="0039739D">
        <w:t>specialist</w:t>
      </w:r>
      <w:r w:rsidRPr="0039739D">
        <w:rPr>
          <w:spacing w:val="-4"/>
        </w:rPr>
        <w:t xml:space="preserve"> </w:t>
      </w:r>
      <w:r w:rsidRPr="0039739D">
        <w:t>skills</w:t>
      </w:r>
      <w:r w:rsidRPr="0039739D">
        <w:rPr>
          <w:spacing w:val="-4"/>
        </w:rPr>
        <w:t xml:space="preserve"> </w:t>
      </w:r>
      <w:r w:rsidRPr="0039739D">
        <w:t>are required.</w:t>
      </w:r>
    </w:p>
    <w:p w:rsidRPr="00770FD9" w:rsidR="00815619" w:rsidP="00157C29" w:rsidRDefault="00815619" w14:paraId="7D4C16EC" w14:textId="2B9682BD">
      <w:pPr>
        <w:pStyle w:val="ListParagraph"/>
        <w:numPr>
          <w:ilvl w:val="0"/>
          <w:numId w:val="13"/>
        </w:numPr>
        <w:spacing w:before="159" w:line="242" w:lineRule="auto"/>
        <w:ind w:left="1701" w:right="1191" w:hanging="567"/>
      </w:pPr>
      <w:r>
        <w:t xml:space="preserve">If a job is advertised on external </w:t>
      </w:r>
      <w:r w:rsidR="00D3032A">
        <w:t>jobs board</w:t>
      </w:r>
      <w:r w:rsidR="005B42CD">
        <w:t>s</w:t>
      </w:r>
      <w:r>
        <w:t xml:space="preserve"> in the first instance, in parallel with advertising on the JSE</w:t>
      </w:r>
      <w:r w:rsidR="00FF6EC5">
        <w:t xml:space="preserve">, </w:t>
      </w:r>
      <w:r w:rsidR="64EC5D06">
        <w:t xml:space="preserve">JSE-eligible </w:t>
      </w:r>
      <w:r>
        <w:t xml:space="preserve">applicants must </w:t>
      </w:r>
      <w:r w:rsidR="00D911A0">
        <w:t xml:space="preserve">(where reasonably practicable) </w:t>
      </w:r>
      <w:r>
        <w:t>be considered and assessed using the RA Guidelines, prior to consideration of external applicants</w:t>
      </w:r>
      <w:r w:rsidR="00FF6EC5">
        <w:t>.</w:t>
      </w:r>
      <w:r w:rsidR="0061621C">
        <w:t xml:space="preserve"> </w:t>
      </w:r>
    </w:p>
    <w:p w:rsidRPr="0039739D" w:rsidR="00300BE4" w:rsidP="00770FD9" w:rsidRDefault="00CB2D8A" w14:paraId="5EEBA7AC" w14:textId="4C3BA89B">
      <w:pPr>
        <w:pStyle w:val="ListParagraph"/>
        <w:numPr>
          <w:ilvl w:val="0"/>
          <w:numId w:val="13"/>
        </w:numPr>
        <w:spacing w:before="159" w:line="242" w:lineRule="auto"/>
        <w:ind w:left="1701" w:right="1191" w:hanging="567"/>
      </w:pPr>
      <w:r w:rsidRPr="0039739D">
        <w:t xml:space="preserve">The VPS employment programs </w:t>
      </w:r>
      <w:r w:rsidR="009C54C7">
        <w:t xml:space="preserve">listed below </w:t>
      </w:r>
      <w:r w:rsidRPr="0039739D">
        <w:t>will be advertised externally. Advertising</w:t>
      </w:r>
      <w:r w:rsidRPr="0039739D">
        <w:rPr>
          <w:spacing w:val="-36"/>
        </w:rPr>
        <w:t xml:space="preserve"> </w:t>
      </w:r>
      <w:r w:rsidRPr="0039739D">
        <w:t>in parallel on the JSE is</w:t>
      </w:r>
      <w:r w:rsidRPr="0039739D">
        <w:rPr>
          <w:spacing w:val="-5"/>
        </w:rPr>
        <w:t xml:space="preserve"> </w:t>
      </w:r>
      <w:r w:rsidRPr="0039739D">
        <w:t>encouraged</w:t>
      </w:r>
      <w:r w:rsidR="0069512C">
        <w:t xml:space="preserve"> </w:t>
      </w:r>
      <w:r w:rsidR="00F4462A">
        <w:t>(</w:t>
      </w:r>
      <w:r w:rsidR="0069512C">
        <w:t xml:space="preserve">Clause </w:t>
      </w:r>
      <w:r w:rsidR="00D502B2">
        <w:t xml:space="preserve">25 </w:t>
      </w:r>
      <w:r w:rsidR="0069512C">
        <w:t>does not apply in these circumstances</w:t>
      </w:r>
      <w:r w:rsidR="00F4462A">
        <w:t>)</w:t>
      </w:r>
      <w:r w:rsidR="005900D5">
        <w:t>.</w:t>
      </w:r>
    </w:p>
    <w:p w:rsidRPr="0039739D" w:rsidR="00300BE4" w:rsidP="00A02C11" w:rsidRDefault="00CB2D8A" w14:paraId="5EEBA7AD" w14:textId="77777777">
      <w:pPr>
        <w:pStyle w:val="ListParagraph"/>
        <w:numPr>
          <w:ilvl w:val="1"/>
          <w:numId w:val="13"/>
        </w:numPr>
        <w:spacing w:before="124" w:line="242" w:lineRule="auto"/>
        <w:ind w:left="2268" w:right="946" w:hanging="567"/>
      </w:pPr>
      <w:r w:rsidRPr="0039739D">
        <w:t>Victorian Government graduate</w:t>
      </w:r>
      <w:r w:rsidRPr="00DF200C">
        <w:t xml:space="preserve"> </w:t>
      </w:r>
      <w:r w:rsidRPr="0039739D">
        <w:t>program</w:t>
      </w:r>
    </w:p>
    <w:p w:rsidRPr="0039739D" w:rsidR="00300BE4" w:rsidP="00A02C11" w:rsidRDefault="00CB2D8A" w14:paraId="5EEBA7AE" w14:textId="77777777">
      <w:pPr>
        <w:pStyle w:val="ListParagraph"/>
        <w:numPr>
          <w:ilvl w:val="1"/>
          <w:numId w:val="13"/>
        </w:numPr>
        <w:spacing w:before="124" w:line="242" w:lineRule="auto"/>
        <w:ind w:left="2268" w:right="946" w:hanging="567"/>
      </w:pPr>
      <w:r w:rsidRPr="0039739D">
        <w:t>Barring Djinang and other Aboriginal internship</w:t>
      </w:r>
      <w:r w:rsidRPr="00DF200C">
        <w:t xml:space="preserve"> </w:t>
      </w:r>
      <w:r w:rsidRPr="0039739D">
        <w:t>programs</w:t>
      </w:r>
    </w:p>
    <w:p w:rsidRPr="0039739D" w:rsidR="00300BE4" w:rsidP="00A02C11" w:rsidRDefault="00CB2D8A" w14:paraId="5EEBA7AF" w14:textId="77777777">
      <w:pPr>
        <w:pStyle w:val="ListParagraph"/>
        <w:numPr>
          <w:ilvl w:val="1"/>
          <w:numId w:val="13"/>
        </w:numPr>
        <w:spacing w:before="124" w:line="242" w:lineRule="auto"/>
        <w:ind w:left="2268" w:right="946" w:hanging="567"/>
      </w:pPr>
      <w:r w:rsidRPr="0039739D">
        <w:t>Youth Employment</w:t>
      </w:r>
      <w:r w:rsidRPr="00DF200C">
        <w:t xml:space="preserve"> </w:t>
      </w:r>
      <w:r w:rsidRPr="0039739D">
        <w:t>Scheme</w:t>
      </w:r>
    </w:p>
    <w:p w:rsidRPr="0039739D" w:rsidR="00300BE4" w:rsidP="00A02C11" w:rsidRDefault="00CB2D8A" w14:paraId="5EEBA7B2" w14:textId="77777777">
      <w:pPr>
        <w:pStyle w:val="ListParagraph"/>
        <w:numPr>
          <w:ilvl w:val="1"/>
          <w:numId w:val="13"/>
        </w:numPr>
        <w:spacing w:before="124" w:line="242" w:lineRule="auto"/>
        <w:ind w:left="2268" w:right="946" w:hanging="567"/>
      </w:pPr>
      <w:r w:rsidRPr="0039739D">
        <w:t>Departmental internship</w:t>
      </w:r>
      <w:r w:rsidRPr="00DF200C">
        <w:t xml:space="preserve"> </w:t>
      </w:r>
      <w:r w:rsidRPr="0039739D">
        <w:t>programs</w:t>
      </w:r>
    </w:p>
    <w:p w:rsidRPr="0039739D" w:rsidR="00300BE4" w:rsidP="00A02C11" w:rsidRDefault="00CB2D8A" w14:paraId="5EEBA7B3" w14:textId="77777777">
      <w:pPr>
        <w:pStyle w:val="ListParagraph"/>
        <w:numPr>
          <w:ilvl w:val="1"/>
          <w:numId w:val="13"/>
        </w:numPr>
        <w:spacing w:before="124" w:line="242" w:lineRule="auto"/>
        <w:ind w:left="2268" w:right="946" w:hanging="567"/>
      </w:pPr>
      <w:r w:rsidRPr="0039739D">
        <w:t>Departmental work placement</w:t>
      </w:r>
      <w:r w:rsidRPr="00DF200C">
        <w:t xml:space="preserve"> </w:t>
      </w:r>
      <w:r w:rsidRPr="0039739D">
        <w:t>programs</w:t>
      </w:r>
    </w:p>
    <w:p w:rsidRPr="0039739D" w:rsidR="00300BE4" w:rsidP="00A02C11" w:rsidRDefault="00CB2D8A" w14:paraId="5EEBA7B4" w14:textId="4AB8A5FB">
      <w:pPr>
        <w:pStyle w:val="ListParagraph"/>
        <w:numPr>
          <w:ilvl w:val="1"/>
          <w:numId w:val="13"/>
        </w:numPr>
        <w:spacing w:before="124" w:line="242" w:lineRule="auto"/>
        <w:ind w:left="2268" w:right="946" w:hanging="567"/>
      </w:pPr>
      <w:r w:rsidRPr="0039739D">
        <w:t>Departmental</w:t>
      </w:r>
      <w:r w:rsidRPr="00DF200C">
        <w:t xml:space="preserve"> </w:t>
      </w:r>
      <w:r w:rsidRPr="0039739D">
        <w:t>traineeships</w:t>
      </w:r>
      <w:r w:rsidR="00DF200C">
        <w:t>.</w:t>
      </w:r>
    </w:p>
    <w:p w:rsidRPr="0039739D" w:rsidR="00E758F7" w:rsidP="00A02C11" w:rsidRDefault="00CB2D8A" w14:paraId="3805169F" w14:textId="10D961B5">
      <w:pPr>
        <w:pStyle w:val="ListParagraph"/>
        <w:numPr>
          <w:ilvl w:val="0"/>
          <w:numId w:val="13"/>
        </w:numPr>
        <w:spacing w:before="164" w:line="244" w:lineRule="auto"/>
        <w:ind w:left="1701" w:right="1601" w:hanging="567"/>
      </w:pPr>
      <w:r w:rsidRPr="0039739D">
        <w:t>If specified in the program guidelines, employers are permitted to directly appoint participants to roles upon completion of the employment</w:t>
      </w:r>
      <w:r w:rsidRPr="0039739D">
        <w:rPr>
          <w:spacing w:val="-13"/>
        </w:rPr>
        <w:t xml:space="preserve"> </w:t>
      </w:r>
      <w:r w:rsidRPr="0039739D">
        <w:t>program.</w:t>
      </w:r>
    </w:p>
    <w:p w:rsidRPr="0039739D" w:rsidR="00300BE4" w:rsidP="00A02C11" w:rsidRDefault="00204BA2" w14:paraId="5EEBA7B7" w14:textId="6E91FBDD">
      <w:pPr>
        <w:pStyle w:val="Heading2"/>
        <w:numPr>
          <w:ilvl w:val="1"/>
          <w:numId w:val="7"/>
        </w:numPr>
        <w:spacing w:before="120" w:after="120"/>
        <w:ind w:left="1701" w:hanging="567"/>
      </w:pPr>
      <w:bookmarkStart w:name="_Toc122516993" w:id="19"/>
      <w:r w:rsidRPr="0039739D">
        <w:rPr>
          <w:color w:val="217F4B"/>
        </w:rPr>
        <w:t>JSE access and eligibility</w:t>
      </w:r>
      <w:bookmarkEnd w:id="19"/>
    </w:p>
    <w:p w:rsidRPr="0039739D" w:rsidR="00204BA2" w:rsidP="00A02C11" w:rsidRDefault="006B3A3C" w14:paraId="24637064" w14:textId="0049143E">
      <w:pPr>
        <w:pStyle w:val="ListParagraph"/>
        <w:numPr>
          <w:ilvl w:val="0"/>
          <w:numId w:val="13"/>
        </w:numPr>
        <w:spacing w:before="164" w:line="242" w:lineRule="auto"/>
        <w:ind w:left="1701" w:right="835" w:hanging="567"/>
      </w:pPr>
      <w:r>
        <w:t xml:space="preserve">In addition to </w:t>
      </w:r>
      <w:r w:rsidR="003A2BA0">
        <w:t xml:space="preserve">people </w:t>
      </w:r>
      <w:r>
        <w:t xml:space="preserve">employed under Part 3 of the </w:t>
      </w:r>
      <w:r w:rsidRPr="1B23D02A">
        <w:rPr>
          <w:i/>
          <w:iCs/>
        </w:rPr>
        <w:t>Public Administration Act 2004</w:t>
      </w:r>
      <w:r w:rsidRPr="1B23D02A" w:rsidR="00DE747F">
        <w:rPr>
          <w:i/>
          <w:iCs/>
        </w:rPr>
        <w:t xml:space="preserve"> </w:t>
      </w:r>
      <w:r w:rsidR="00DE747F">
        <w:t>(Vic)</w:t>
      </w:r>
      <w:r>
        <w:t xml:space="preserve">, </w:t>
      </w:r>
      <w:r w:rsidR="00D66BB3">
        <w:t>people in the categories set out in Appendix A</w:t>
      </w:r>
      <w:r>
        <w:t>, are eligible to access and apply for jobs through the JSE jobs board</w:t>
      </w:r>
      <w:r w:rsidR="00204BA2">
        <w:t>.</w:t>
      </w:r>
    </w:p>
    <w:p w:rsidR="00E758F7" w:rsidP="00A02C11" w:rsidRDefault="00204BA2" w14:paraId="6A99AA21" w14:textId="11CD4375">
      <w:pPr>
        <w:pStyle w:val="ListParagraph"/>
        <w:numPr>
          <w:ilvl w:val="0"/>
          <w:numId w:val="13"/>
        </w:numPr>
        <w:spacing w:before="124" w:line="242" w:lineRule="auto"/>
        <w:ind w:left="1701" w:right="946" w:hanging="567"/>
      </w:pPr>
      <w:r w:rsidRPr="0039739D">
        <w:t xml:space="preserve">People on </w:t>
      </w:r>
      <w:bookmarkStart w:name="_Int_ITx0YcqV" w:id="20"/>
      <w:r w:rsidRPr="0039739D">
        <w:t>labour</w:t>
      </w:r>
      <w:bookmarkEnd w:id="20"/>
      <w:r w:rsidRPr="0039739D">
        <w:t xml:space="preserve"> hire contracts can apply for VPS jobs through external </w:t>
      </w:r>
      <w:r w:rsidR="001A262F">
        <w:t xml:space="preserve">jobs </w:t>
      </w:r>
      <w:r w:rsidR="008F3BF8">
        <w:t>board</w:t>
      </w:r>
      <w:r w:rsidRPr="0039739D" w:rsidR="008F3BF8">
        <w:t>s but</w:t>
      </w:r>
      <w:r w:rsidRPr="0039739D">
        <w:t xml:space="preserve"> are not able to access and apply for jobs through the</w:t>
      </w:r>
      <w:r w:rsidRPr="0039739D">
        <w:rPr>
          <w:spacing w:val="-20"/>
        </w:rPr>
        <w:t xml:space="preserve"> </w:t>
      </w:r>
      <w:r w:rsidRPr="0039739D">
        <w:t>JSE.</w:t>
      </w:r>
    </w:p>
    <w:p w:rsidR="00612A44" w:rsidP="00A02C11" w:rsidRDefault="00612A44" w14:paraId="67EC2E13" w14:textId="3306172C">
      <w:pPr>
        <w:pStyle w:val="ListParagraph"/>
        <w:numPr>
          <w:ilvl w:val="0"/>
          <w:numId w:val="13"/>
        </w:numPr>
        <w:spacing w:before="124" w:line="242" w:lineRule="auto"/>
        <w:ind w:left="1701" w:right="946" w:hanging="567"/>
      </w:pPr>
      <w:r>
        <w:t>To assist business continuity and help build capability across the VPS, the following employees are eligible to apply for jobs through the JSE for 9 months after they leave the VPS:</w:t>
      </w:r>
    </w:p>
    <w:p w:rsidR="00612A44" w:rsidP="001D7674" w:rsidRDefault="00612A44" w14:paraId="0F4B1C2E" w14:textId="4605AF4A">
      <w:pPr>
        <w:pStyle w:val="ListParagraph"/>
        <w:numPr>
          <w:ilvl w:val="1"/>
          <w:numId w:val="13"/>
        </w:numPr>
        <w:spacing w:before="124" w:line="242" w:lineRule="auto"/>
        <w:ind w:left="2268" w:right="946" w:hanging="567"/>
      </w:pPr>
      <w:r w:rsidRPr="00612A44">
        <w:t xml:space="preserve">redeployees </w:t>
      </w:r>
      <w:r w:rsidRPr="006B6638" w:rsidR="006B6638">
        <w:t xml:space="preserve">(where redeployment has not been achieved by the end of their Redeployment Period) </w:t>
      </w:r>
      <w:r w:rsidRPr="00612A44">
        <w:t>who leav</w:t>
      </w:r>
      <w:r w:rsidR="006B6638">
        <w:t>e</w:t>
      </w:r>
      <w:r w:rsidRPr="00612A44">
        <w:t xml:space="preserve"> the VPS</w:t>
      </w:r>
      <w:r w:rsidR="00891859">
        <w:t xml:space="preserve"> on and after 31 March 2022</w:t>
      </w:r>
      <w:r w:rsidR="006643A0">
        <w:t xml:space="preserve"> </w:t>
      </w:r>
      <w:r w:rsidRPr="006643A0" w:rsidR="006643A0">
        <w:t>(noting their priority consideration status ceases upon the end of their Redeployment Period)</w:t>
      </w:r>
      <w:r w:rsidR="00891859">
        <w:t>;</w:t>
      </w:r>
      <w:r>
        <w:t xml:space="preserve"> and</w:t>
      </w:r>
    </w:p>
    <w:p w:rsidRPr="0039739D" w:rsidR="00612A44" w:rsidP="001D7674" w:rsidRDefault="00CB5553" w14:paraId="6448CA0C" w14:textId="1FDB89D3">
      <w:pPr>
        <w:pStyle w:val="ListParagraph"/>
        <w:numPr>
          <w:ilvl w:val="1"/>
          <w:numId w:val="13"/>
        </w:numPr>
        <w:spacing w:before="124" w:line="242" w:lineRule="auto"/>
        <w:ind w:left="2268" w:right="946" w:hanging="567"/>
      </w:pPr>
      <w:r w:rsidRPr="00CB5553">
        <w:t>fixed term employees whose contracts end on and after 31 March 2022</w:t>
      </w:r>
      <w:r w:rsidR="00454540">
        <w:t xml:space="preserve"> </w:t>
      </w:r>
      <w:r w:rsidRPr="00CB5553">
        <w:t>(</w:t>
      </w:r>
      <w:r w:rsidR="00EB5B30">
        <w:t>e</w:t>
      </w:r>
      <w:r w:rsidRPr="00CB5553">
        <w:t>mployees who resign from their fixed term position prior to the nominal expiry of their fixed term contract are not eligible for 9 months extended access to the JSE).</w:t>
      </w:r>
      <w:r w:rsidR="00AB783D">
        <w:t xml:space="preserve"> </w:t>
      </w:r>
    </w:p>
    <w:p w:rsidRPr="0039739D" w:rsidR="00A34372" w:rsidP="00A02C11" w:rsidRDefault="00E758F7" w14:paraId="1305F9BE" w14:textId="273ADA5E">
      <w:pPr>
        <w:pStyle w:val="ListParagraph"/>
        <w:numPr>
          <w:ilvl w:val="0"/>
          <w:numId w:val="13"/>
        </w:numPr>
        <w:spacing w:before="124" w:line="242" w:lineRule="auto"/>
        <w:ind w:left="1701" w:right="946" w:hanging="567"/>
      </w:pPr>
      <w:r w:rsidRPr="0039739D">
        <w:t>To</w:t>
      </w:r>
      <w:r w:rsidRPr="0039739D" w:rsidR="00CB2D8A">
        <w:rPr>
          <w:spacing w:val="-5"/>
        </w:rPr>
        <w:t xml:space="preserve"> </w:t>
      </w:r>
      <w:r w:rsidRPr="0039739D" w:rsidR="00CB2D8A">
        <w:t>support</w:t>
      </w:r>
      <w:r w:rsidRPr="0039739D" w:rsidR="00CB2D8A">
        <w:rPr>
          <w:spacing w:val="-5"/>
        </w:rPr>
        <w:t xml:space="preserve"> </w:t>
      </w:r>
      <w:r w:rsidRPr="0039739D" w:rsidR="00CB2D8A">
        <w:t>the</w:t>
      </w:r>
      <w:r w:rsidRPr="0039739D" w:rsidR="00CB2D8A">
        <w:rPr>
          <w:spacing w:val="-5"/>
        </w:rPr>
        <w:t xml:space="preserve"> </w:t>
      </w:r>
      <w:r w:rsidRPr="0039739D" w:rsidR="00CB2D8A">
        <w:t>Government’s</w:t>
      </w:r>
      <w:r w:rsidRPr="0039739D" w:rsidR="00CB2D8A">
        <w:rPr>
          <w:spacing w:val="-5"/>
        </w:rPr>
        <w:t xml:space="preserve"> </w:t>
      </w:r>
      <w:r w:rsidRPr="0039739D" w:rsidR="00CB2D8A">
        <w:t>commitment</w:t>
      </w:r>
      <w:r w:rsidRPr="0039739D" w:rsidR="00CB2D8A">
        <w:rPr>
          <w:spacing w:val="-5"/>
        </w:rPr>
        <w:t xml:space="preserve"> </w:t>
      </w:r>
      <w:r w:rsidRPr="0039739D" w:rsidR="00CB2D8A">
        <w:t>to</w:t>
      </w:r>
      <w:r w:rsidRPr="0039739D" w:rsidR="00CB2D8A">
        <w:rPr>
          <w:spacing w:val="-5"/>
        </w:rPr>
        <w:t xml:space="preserve"> </w:t>
      </w:r>
      <w:r w:rsidRPr="0039739D" w:rsidR="00CB2D8A">
        <w:t>increasing</w:t>
      </w:r>
      <w:r w:rsidRPr="0039739D" w:rsidR="00CB2D8A">
        <w:rPr>
          <w:spacing w:val="-5"/>
        </w:rPr>
        <w:t xml:space="preserve"> </w:t>
      </w:r>
      <w:r w:rsidRPr="0039739D" w:rsidR="00CB2D8A">
        <w:t>diversity</w:t>
      </w:r>
      <w:r w:rsidRPr="0039739D" w:rsidR="00CB2D8A">
        <w:rPr>
          <w:spacing w:val="-5"/>
        </w:rPr>
        <w:t xml:space="preserve"> </w:t>
      </w:r>
      <w:r w:rsidRPr="0039739D" w:rsidR="00CB2D8A">
        <w:t>and</w:t>
      </w:r>
      <w:r w:rsidRPr="0039739D" w:rsidR="00CB2D8A">
        <w:rPr>
          <w:spacing w:val="-5"/>
        </w:rPr>
        <w:t xml:space="preserve"> </w:t>
      </w:r>
      <w:r w:rsidRPr="0039739D" w:rsidR="00CB2D8A">
        <w:t>inclusion across the VPS</w:t>
      </w:r>
      <w:r w:rsidRPr="0039739D">
        <w:t>, i</w:t>
      </w:r>
      <w:r w:rsidRPr="0039739D" w:rsidR="00A34372">
        <w:t xml:space="preserve">ndividuals </w:t>
      </w:r>
      <w:r w:rsidR="0039739D">
        <w:t>are eligible</w:t>
      </w:r>
      <w:r w:rsidRPr="0039739D" w:rsidR="00A34372">
        <w:t xml:space="preserve"> </w:t>
      </w:r>
      <w:r w:rsidR="00612A44">
        <w:t xml:space="preserve">to </w:t>
      </w:r>
      <w:r w:rsidRPr="0039739D" w:rsidR="00A34372">
        <w:t>apply for jobs through the JSE for 12 months after they leave the VPS if they:</w:t>
      </w:r>
    </w:p>
    <w:p w:rsidRPr="0039739D" w:rsidR="00A34372" w:rsidP="009641CE" w:rsidRDefault="00A34372" w14:paraId="674A9AD4" w14:textId="77777777">
      <w:pPr>
        <w:pStyle w:val="ListParagraph"/>
        <w:numPr>
          <w:ilvl w:val="1"/>
          <w:numId w:val="13"/>
        </w:numPr>
        <w:spacing w:before="124" w:line="242" w:lineRule="auto"/>
        <w:ind w:left="2268" w:right="946" w:hanging="567"/>
      </w:pPr>
      <w:r w:rsidRPr="0039739D">
        <w:t>identify as Aboriginal and/or Torres Strait Islander; and/or</w:t>
      </w:r>
    </w:p>
    <w:p w:rsidRPr="0039739D" w:rsidR="00F97D16" w:rsidP="009641CE" w:rsidRDefault="00A34372" w14:paraId="737E8B1D" w14:textId="6696AAB5">
      <w:pPr>
        <w:pStyle w:val="ListParagraph"/>
        <w:numPr>
          <w:ilvl w:val="1"/>
          <w:numId w:val="13"/>
        </w:numPr>
        <w:spacing w:before="124" w:line="242" w:lineRule="auto"/>
        <w:ind w:left="2268" w:right="946" w:hanging="567"/>
      </w:pPr>
      <w:r w:rsidRPr="0039739D">
        <w:t>identify as a person with disability</w:t>
      </w:r>
      <w:r w:rsidR="000B749C">
        <w:t xml:space="preserve">. </w:t>
      </w:r>
    </w:p>
    <w:p w:rsidRPr="0039739D" w:rsidR="00A34372" w:rsidP="009641CE" w:rsidRDefault="00A34372" w14:paraId="30AE0A1B" w14:textId="15ABAA3F">
      <w:pPr>
        <w:pStyle w:val="ListParagraph"/>
        <w:numPr>
          <w:ilvl w:val="0"/>
          <w:numId w:val="13"/>
        </w:numPr>
        <w:spacing w:before="124" w:line="242" w:lineRule="auto"/>
        <w:ind w:left="1701" w:right="946" w:hanging="557"/>
      </w:pPr>
      <w:r>
        <w:t>Participants of the following employment pathway programs</w:t>
      </w:r>
      <w:r w:rsidR="004A133D">
        <w:t xml:space="preserve"> and </w:t>
      </w:r>
      <w:r w:rsidR="00A1789B">
        <w:t>internship programs</w:t>
      </w:r>
      <w:r>
        <w:t xml:space="preserve"> </w:t>
      </w:r>
      <w:r w:rsidR="00853DF2">
        <w:t xml:space="preserve">(VPS and Victorian </w:t>
      </w:r>
      <w:r w:rsidR="00E8415C">
        <w:t>p</w:t>
      </w:r>
      <w:r w:rsidR="00853DF2">
        <w:t xml:space="preserve">ublic </w:t>
      </w:r>
      <w:r w:rsidR="00E8415C">
        <w:t>e</w:t>
      </w:r>
      <w:r w:rsidR="00853DF2">
        <w:t xml:space="preserve">ntities) </w:t>
      </w:r>
      <w:r>
        <w:t xml:space="preserve">are eligible to access </w:t>
      </w:r>
      <w:r w:rsidR="00853DF2">
        <w:t xml:space="preserve">and </w:t>
      </w:r>
      <w:r>
        <w:t xml:space="preserve">apply for jobs through the JSE </w:t>
      </w:r>
      <w:r w:rsidR="00E8415C">
        <w:t xml:space="preserve">during their program and </w:t>
      </w:r>
      <w:r>
        <w:t xml:space="preserve">for 12 months after they </w:t>
      </w:r>
      <w:r w:rsidR="00853DF2">
        <w:t>complete their</w:t>
      </w:r>
      <w:r w:rsidR="00E8415C">
        <w:t xml:space="preserve"> employment</w:t>
      </w:r>
      <w:r>
        <w:t>:</w:t>
      </w:r>
    </w:p>
    <w:p w:rsidRPr="0039739D" w:rsidR="00A34372" w:rsidP="009641CE" w:rsidRDefault="00A34372" w14:paraId="1FC6810E" w14:textId="41CDFC4C">
      <w:pPr>
        <w:pStyle w:val="ListParagraph"/>
        <w:numPr>
          <w:ilvl w:val="1"/>
          <w:numId w:val="13"/>
        </w:numPr>
        <w:spacing w:before="124" w:line="242" w:lineRule="auto"/>
        <w:ind w:left="2268" w:right="946" w:hanging="567"/>
      </w:pPr>
      <w:r w:rsidRPr="0039739D">
        <w:t>Youth Employment Scheme</w:t>
      </w:r>
      <w:r w:rsidR="00DE747F">
        <w:t xml:space="preserve"> </w:t>
      </w:r>
    </w:p>
    <w:p w:rsidRPr="0039739D" w:rsidR="00A34372" w:rsidP="009641CE" w:rsidRDefault="00A34372" w14:paraId="1D51C85C" w14:textId="4E4890F9">
      <w:pPr>
        <w:pStyle w:val="ListParagraph"/>
        <w:numPr>
          <w:ilvl w:val="1"/>
          <w:numId w:val="13"/>
        </w:numPr>
        <w:spacing w:before="124" w:line="242" w:lineRule="auto"/>
        <w:ind w:left="2268" w:right="946" w:hanging="567"/>
      </w:pPr>
      <w:r w:rsidRPr="0039739D">
        <w:t>Youth Employment Program</w:t>
      </w:r>
      <w:r w:rsidR="00DE747F">
        <w:t xml:space="preserve"> </w:t>
      </w:r>
    </w:p>
    <w:p w:rsidRPr="00311805" w:rsidR="00311805" w:rsidP="009641CE" w:rsidRDefault="00311805" w14:paraId="770CA2DE" w14:textId="7420CB97">
      <w:pPr>
        <w:pStyle w:val="ListParagraph"/>
        <w:numPr>
          <w:ilvl w:val="1"/>
          <w:numId w:val="13"/>
        </w:numPr>
        <w:spacing w:before="124" w:line="242" w:lineRule="auto"/>
        <w:ind w:left="2268" w:right="946" w:hanging="567"/>
      </w:pPr>
      <w:r>
        <w:t xml:space="preserve">Any Aboriginal internship </w:t>
      </w:r>
      <w:bookmarkStart w:name="_Int_EK7PFTDK" w:id="21"/>
      <w:proofErr w:type="gramStart"/>
      <w:r>
        <w:t>program</w:t>
      </w:r>
      <w:bookmarkEnd w:id="21"/>
      <w:proofErr w:type="gramEnd"/>
      <w:r>
        <w:t xml:space="preserve"> </w:t>
      </w:r>
    </w:p>
    <w:p w:rsidRPr="00311805" w:rsidR="00311805" w:rsidP="009641CE" w:rsidRDefault="00311805" w14:paraId="3AD11FAD" w14:textId="77777777">
      <w:pPr>
        <w:pStyle w:val="ListParagraph"/>
        <w:numPr>
          <w:ilvl w:val="1"/>
          <w:numId w:val="13"/>
        </w:numPr>
        <w:spacing w:before="124" w:line="242" w:lineRule="auto"/>
        <w:ind w:left="2268" w:right="946" w:hanging="567"/>
      </w:pPr>
      <w:r w:rsidRPr="00311805">
        <w:t>Any internship program for people with disability</w:t>
      </w:r>
    </w:p>
    <w:p w:rsidRPr="00286FBD" w:rsidR="00300BE4" w:rsidP="009641CE" w:rsidRDefault="00311805" w14:paraId="5EEBA7B8" w14:textId="75AEEC34">
      <w:pPr>
        <w:pStyle w:val="ListParagraph"/>
        <w:numPr>
          <w:ilvl w:val="1"/>
          <w:numId w:val="13"/>
        </w:numPr>
        <w:spacing w:before="124" w:line="242" w:lineRule="auto"/>
        <w:ind w:left="2268" w:right="946" w:hanging="567"/>
      </w:pPr>
      <w:r w:rsidRPr="00311805">
        <w:t>Any</w:t>
      </w:r>
      <w:r w:rsidRPr="00311805">
        <w:rPr>
          <w:spacing w:val="-1"/>
        </w:rPr>
        <w:t xml:space="preserve"> internship program for refugees and asylum seekers.</w:t>
      </w:r>
    </w:p>
    <w:p w:rsidRPr="0039739D" w:rsidR="00F4462A" w:rsidP="00286FBD" w:rsidRDefault="00D74AD5" w14:paraId="6176CDBD" w14:textId="6D0ADFB4">
      <w:pPr>
        <w:pStyle w:val="ListParagraph"/>
        <w:numPr>
          <w:ilvl w:val="0"/>
          <w:numId w:val="13"/>
        </w:numPr>
        <w:spacing w:before="124" w:line="242" w:lineRule="auto"/>
        <w:ind w:right="946"/>
      </w:pPr>
      <w:r>
        <w:rPr>
          <w:spacing w:val="-1"/>
        </w:rPr>
        <w:t>E</w:t>
      </w:r>
      <w:r w:rsidR="00912E1E">
        <w:rPr>
          <w:spacing w:val="-1"/>
        </w:rPr>
        <w:t xml:space="preserve">mployees who </w:t>
      </w:r>
      <w:r w:rsidR="0045574E">
        <w:rPr>
          <w:spacing w:val="-1"/>
        </w:rPr>
        <w:t xml:space="preserve">cease employment </w:t>
      </w:r>
      <w:r w:rsidR="000B3A27">
        <w:rPr>
          <w:spacing w:val="-1"/>
        </w:rPr>
        <w:t xml:space="preserve">and </w:t>
      </w:r>
      <w:r w:rsidR="0045574E">
        <w:rPr>
          <w:spacing w:val="-1"/>
        </w:rPr>
        <w:t xml:space="preserve">have </w:t>
      </w:r>
      <w:r w:rsidR="00912E1E">
        <w:rPr>
          <w:spacing w:val="-1"/>
        </w:rPr>
        <w:t xml:space="preserve">JSE access </w:t>
      </w:r>
      <w:r w:rsidR="005F286A">
        <w:rPr>
          <w:spacing w:val="-1"/>
        </w:rPr>
        <w:t xml:space="preserve">provided by </w:t>
      </w:r>
      <w:r w:rsidR="00912E1E">
        <w:rPr>
          <w:spacing w:val="-1"/>
        </w:rPr>
        <w:t>clauses</w:t>
      </w:r>
      <w:r w:rsidR="00B521A5">
        <w:rPr>
          <w:spacing w:val="-1"/>
        </w:rPr>
        <w:t xml:space="preserve"> </w:t>
      </w:r>
      <w:r w:rsidR="006B75E1">
        <w:rPr>
          <w:spacing w:val="-1"/>
        </w:rPr>
        <w:t>30</w:t>
      </w:r>
      <w:r w:rsidR="007807A7">
        <w:rPr>
          <w:spacing w:val="-1"/>
        </w:rPr>
        <w:t xml:space="preserve">, </w:t>
      </w:r>
      <w:r w:rsidR="006B75E1">
        <w:rPr>
          <w:spacing w:val="-1"/>
        </w:rPr>
        <w:t xml:space="preserve">31 </w:t>
      </w:r>
      <w:r w:rsidR="004216B8">
        <w:rPr>
          <w:spacing w:val="-1"/>
        </w:rPr>
        <w:t>and/</w:t>
      </w:r>
      <w:r w:rsidR="008E4619">
        <w:rPr>
          <w:spacing w:val="-1"/>
        </w:rPr>
        <w:t xml:space="preserve">or </w:t>
      </w:r>
      <w:r w:rsidR="006B75E1">
        <w:rPr>
          <w:spacing w:val="-1"/>
        </w:rPr>
        <w:t xml:space="preserve">32 </w:t>
      </w:r>
      <w:r w:rsidR="00D603C2">
        <w:rPr>
          <w:spacing w:val="-1"/>
        </w:rPr>
        <w:t>are</w:t>
      </w:r>
      <w:r w:rsidR="00374676">
        <w:rPr>
          <w:spacing w:val="-1"/>
        </w:rPr>
        <w:t xml:space="preserve"> JSE</w:t>
      </w:r>
      <w:r w:rsidR="00301A3B">
        <w:rPr>
          <w:spacing w:val="-1"/>
        </w:rPr>
        <w:t>-eligible</w:t>
      </w:r>
      <w:r w:rsidR="00432566">
        <w:rPr>
          <w:spacing w:val="-1"/>
        </w:rPr>
        <w:t xml:space="preserve"> </w:t>
      </w:r>
      <w:r w:rsidR="00374676">
        <w:rPr>
          <w:spacing w:val="-1"/>
        </w:rPr>
        <w:t>applicants</w:t>
      </w:r>
      <w:r w:rsidR="00A257C1">
        <w:rPr>
          <w:spacing w:val="-1"/>
        </w:rPr>
        <w:t xml:space="preserve"> for the purpose of clause 25. </w:t>
      </w:r>
    </w:p>
    <w:p w:rsidRPr="0039739D" w:rsidR="00A34372" w:rsidP="00882E22" w:rsidRDefault="00A34372" w14:paraId="6588E9B8" w14:textId="77777777">
      <w:pPr>
        <w:pStyle w:val="Heading2"/>
        <w:keepNext/>
        <w:widowControl/>
        <w:numPr>
          <w:ilvl w:val="1"/>
          <w:numId w:val="7"/>
        </w:numPr>
        <w:spacing w:before="120" w:after="120"/>
        <w:ind w:left="1701" w:hanging="567"/>
      </w:pPr>
      <w:bookmarkStart w:name="_Toc122516994" w:id="22"/>
      <w:r w:rsidRPr="0039739D">
        <w:rPr>
          <w:color w:val="217F4B"/>
        </w:rPr>
        <w:t>Reporting</w:t>
      </w:r>
      <w:bookmarkEnd w:id="22"/>
    </w:p>
    <w:p w:rsidRPr="0039739D" w:rsidR="00A34372" w:rsidP="00882E22" w:rsidRDefault="001A48F2" w14:paraId="507B2F0E" w14:textId="398F7A0F">
      <w:pPr>
        <w:pStyle w:val="ListParagraph"/>
        <w:keepNext/>
        <w:widowControl/>
        <w:numPr>
          <w:ilvl w:val="0"/>
          <w:numId w:val="13"/>
        </w:numPr>
        <w:spacing w:before="124" w:line="242" w:lineRule="auto"/>
        <w:ind w:left="1701" w:right="885" w:hanging="567"/>
      </w:pPr>
      <w:r>
        <w:t>The JSE will provide regular reports on exclusive JSE advertising and external advertising to the JSE Steering Committee and the Human Resources Directors Committee.</w:t>
      </w:r>
    </w:p>
    <w:p w:rsidRPr="0039739D" w:rsidR="00A34372" w:rsidP="005C763E" w:rsidRDefault="00A34372" w14:paraId="5AE6C76A" w14:textId="7879DF35">
      <w:pPr>
        <w:pStyle w:val="Heading2"/>
        <w:keepNext/>
        <w:widowControl/>
        <w:numPr>
          <w:ilvl w:val="1"/>
          <w:numId w:val="7"/>
        </w:numPr>
        <w:spacing w:before="120" w:after="120"/>
        <w:ind w:left="1701" w:hanging="567"/>
      </w:pPr>
      <w:bookmarkStart w:name="_Toc122516995" w:id="23"/>
      <w:r w:rsidRPr="0039739D">
        <w:rPr>
          <w:color w:val="217F4B"/>
        </w:rPr>
        <w:t xml:space="preserve">Communicating </w:t>
      </w:r>
      <w:r w:rsidR="00135614">
        <w:rPr>
          <w:color w:val="217F4B"/>
        </w:rPr>
        <w:t>the JSE Policy</w:t>
      </w:r>
      <w:bookmarkEnd w:id="23"/>
    </w:p>
    <w:p w:rsidRPr="0039739D" w:rsidR="00A34372" w:rsidP="005C763E" w:rsidRDefault="00A34372" w14:paraId="627D1B80" w14:textId="353FDB0C">
      <w:pPr>
        <w:pStyle w:val="ListParagraph"/>
        <w:keepNext/>
        <w:widowControl/>
        <w:numPr>
          <w:ilvl w:val="0"/>
          <w:numId w:val="13"/>
        </w:numPr>
        <w:spacing w:before="123" w:line="244" w:lineRule="auto"/>
        <w:ind w:left="1701" w:right="2296" w:hanging="567"/>
      </w:pPr>
      <w:r w:rsidRPr="0039739D">
        <w:t xml:space="preserve">Departments are responsible for communicating </w:t>
      </w:r>
      <w:r w:rsidR="00135614">
        <w:t>the JSE Policy</w:t>
      </w:r>
      <w:r w:rsidRPr="0039739D">
        <w:t xml:space="preserve"> and the change management approach to their</w:t>
      </w:r>
      <w:r w:rsidRPr="0039739D">
        <w:rPr>
          <w:spacing w:val="-5"/>
        </w:rPr>
        <w:t xml:space="preserve"> </w:t>
      </w:r>
      <w:r w:rsidRPr="0039739D">
        <w:t>employees.</w:t>
      </w:r>
    </w:p>
    <w:p w:rsidRPr="0039739D" w:rsidR="00A34372" w:rsidP="009641CE" w:rsidRDefault="00A34372" w14:paraId="7494F036" w14:textId="6DC31DF8">
      <w:pPr>
        <w:pStyle w:val="ListParagraph"/>
        <w:numPr>
          <w:ilvl w:val="0"/>
          <w:numId w:val="13"/>
        </w:numPr>
        <w:spacing w:before="153" w:line="244" w:lineRule="auto"/>
        <w:ind w:left="1701" w:right="1798" w:hanging="567"/>
      </w:pPr>
      <w:r w:rsidRPr="0039739D">
        <w:t xml:space="preserve">Departments are also responsible for communicating </w:t>
      </w:r>
      <w:r w:rsidR="00135614">
        <w:t>the JSE Policy</w:t>
      </w:r>
      <w:r w:rsidRPr="0039739D">
        <w:t xml:space="preserve"> and the change management approach to their portfolio</w:t>
      </w:r>
      <w:r w:rsidRPr="0039739D">
        <w:rPr>
          <w:spacing w:val="-7"/>
        </w:rPr>
        <w:t xml:space="preserve"> </w:t>
      </w:r>
      <w:r w:rsidRPr="0039739D">
        <w:t>agencies.</w:t>
      </w:r>
    </w:p>
    <w:p w:rsidRPr="0039739D" w:rsidR="00A34372" w:rsidP="00DE747F" w:rsidRDefault="00A34372" w14:paraId="10D04B58" w14:textId="048DA629">
      <w:pPr>
        <w:pStyle w:val="ListParagraph"/>
        <w:numPr>
          <w:ilvl w:val="0"/>
          <w:numId w:val="13"/>
        </w:numPr>
        <w:spacing w:before="157"/>
        <w:ind w:left="1701" w:right="701" w:hanging="567"/>
      </w:pPr>
      <w:r w:rsidRPr="0039739D">
        <w:t>HR areas and JSE members can contact the JSE at</w:t>
      </w:r>
      <w:r w:rsidRPr="0039739D">
        <w:rPr>
          <w:color w:val="0072CE"/>
        </w:rPr>
        <w:t xml:space="preserve"> </w:t>
      </w:r>
      <w:hyperlink w:history="1" r:id="rId20">
        <w:r w:rsidRPr="0039739D" w:rsidR="00F97D16">
          <w:rPr>
            <w:rStyle w:val="Hyperlink"/>
          </w:rPr>
          <w:t>jse@vpsc.vic.gov.au</w:t>
        </w:r>
      </w:hyperlink>
      <w:r w:rsidRPr="0039739D" w:rsidR="00F97D16">
        <w:rPr>
          <w:color w:val="0072CE"/>
        </w:rPr>
        <w:t xml:space="preserve"> </w:t>
      </w:r>
      <w:r w:rsidRPr="0039739D">
        <w:t>for policy</w:t>
      </w:r>
      <w:r w:rsidRPr="0039739D">
        <w:rPr>
          <w:spacing w:val="-25"/>
        </w:rPr>
        <w:t xml:space="preserve"> </w:t>
      </w:r>
      <w:r w:rsidRPr="0039739D">
        <w:t>queries.</w:t>
      </w:r>
    </w:p>
    <w:p w:rsidRPr="0039739D" w:rsidR="00A34372" w:rsidP="00DE747F" w:rsidRDefault="00A34372" w14:paraId="3D042B5C" w14:textId="77777777">
      <w:pPr>
        <w:pStyle w:val="Heading2"/>
        <w:numPr>
          <w:ilvl w:val="1"/>
          <w:numId w:val="7"/>
        </w:numPr>
        <w:spacing w:before="120" w:after="120"/>
        <w:ind w:left="1701" w:hanging="567"/>
      </w:pPr>
      <w:bookmarkStart w:name="_Toc122516996" w:id="24"/>
      <w:r w:rsidRPr="0039739D">
        <w:rPr>
          <w:color w:val="217F4B"/>
        </w:rPr>
        <w:t>Commencement</w:t>
      </w:r>
      <w:r w:rsidRPr="0039739D">
        <w:rPr>
          <w:color w:val="217F4B"/>
          <w:spacing w:val="-1"/>
        </w:rPr>
        <w:t xml:space="preserve"> </w:t>
      </w:r>
      <w:r w:rsidRPr="0039739D">
        <w:rPr>
          <w:color w:val="217F4B"/>
        </w:rPr>
        <w:t>date</w:t>
      </w:r>
      <w:bookmarkEnd w:id="24"/>
    </w:p>
    <w:p w:rsidRPr="0039739D" w:rsidR="00A34372" w:rsidP="009641CE" w:rsidRDefault="00135614" w14:paraId="64004003" w14:textId="71619F4A">
      <w:pPr>
        <w:pStyle w:val="ListParagraph"/>
        <w:numPr>
          <w:ilvl w:val="0"/>
          <w:numId w:val="13"/>
        </w:numPr>
        <w:spacing w:before="153"/>
        <w:ind w:left="1701" w:hanging="567"/>
      </w:pPr>
      <w:r>
        <w:t>The JSE Policy</w:t>
      </w:r>
      <w:r w:rsidRPr="0039739D" w:rsidR="00A34372">
        <w:t xml:space="preserve"> commence</w:t>
      </w:r>
      <w:r w:rsidR="001A48F2">
        <w:t>s</w:t>
      </w:r>
      <w:r w:rsidRPr="0039739D" w:rsidR="00A34372">
        <w:t xml:space="preserve"> on 1 October</w:t>
      </w:r>
      <w:r w:rsidRPr="0039739D" w:rsidR="00A34372">
        <w:rPr>
          <w:spacing w:val="-8"/>
        </w:rPr>
        <w:t xml:space="preserve"> </w:t>
      </w:r>
      <w:r w:rsidRPr="0039739D" w:rsidR="00A34372">
        <w:t>2019.</w:t>
      </w:r>
    </w:p>
    <w:p w:rsidRPr="0039739D" w:rsidR="00300BE4" w:rsidP="00B67463" w:rsidRDefault="00300BE4" w14:paraId="5EEBA7C8" w14:textId="77777777">
      <w:pPr>
        <w:pStyle w:val="BodyText"/>
        <w:spacing w:before="9"/>
        <w:ind w:firstLine="0"/>
        <w:rPr>
          <w:sz w:val="17"/>
        </w:rPr>
      </w:pPr>
    </w:p>
    <w:p w:rsidRPr="0039739D" w:rsidR="00300BE4" w:rsidP="00B67463" w:rsidRDefault="00CB2D8A" w14:paraId="5EEBA7D8" w14:textId="0C326A26">
      <w:pPr>
        <w:pStyle w:val="Heading1"/>
        <w:spacing w:before="78"/>
        <w:ind w:right="796"/>
        <w:rPr>
          <w:b/>
        </w:rPr>
      </w:pPr>
      <w:bookmarkStart w:name="_Toc122516997" w:id="25"/>
      <w:r w:rsidRPr="0039739D">
        <w:rPr>
          <w:b/>
          <w:color w:val="217F4B"/>
        </w:rPr>
        <w:t xml:space="preserve">Section 3 - Context / Related Policies </w:t>
      </w:r>
      <w:r w:rsidR="00870B14">
        <w:rPr>
          <w:b/>
          <w:color w:val="217F4B"/>
        </w:rPr>
        <w:t>/</w:t>
      </w:r>
      <w:r w:rsidRPr="0039739D">
        <w:rPr>
          <w:b/>
          <w:color w:val="217F4B"/>
        </w:rPr>
        <w:t xml:space="preserve"> Further Notes</w:t>
      </w:r>
      <w:bookmarkEnd w:id="25"/>
    </w:p>
    <w:p w:rsidRPr="0039739D" w:rsidR="00300BE4" w:rsidP="00B32207" w:rsidRDefault="00CB2D8A" w14:paraId="5EEBA7D9" w14:textId="77777777">
      <w:pPr>
        <w:pStyle w:val="ListParagraph"/>
        <w:numPr>
          <w:ilvl w:val="0"/>
          <w:numId w:val="13"/>
        </w:numPr>
        <w:spacing w:before="328"/>
        <w:ind w:left="1701" w:hanging="557"/>
      </w:pPr>
      <w:r w:rsidRPr="0039739D">
        <w:t>This policy should be read in conjunction with other HR relevant policies,</w:t>
      </w:r>
      <w:r w:rsidRPr="0039739D">
        <w:rPr>
          <w:spacing w:val="-20"/>
        </w:rPr>
        <w:t xml:space="preserve"> </w:t>
      </w:r>
      <w:r w:rsidRPr="0039739D">
        <w:t>including:</w:t>
      </w:r>
    </w:p>
    <w:p w:rsidRPr="0039739D" w:rsidR="0021540E" w:rsidP="481B3132" w:rsidRDefault="0021540E" w14:paraId="04A7BE11" w14:textId="77777777" w14:noSpellErr="1">
      <w:pPr>
        <w:pStyle w:val="ListParagraph"/>
        <w:numPr>
          <w:ilvl w:val="0"/>
          <w:numId w:val="4"/>
        </w:numPr>
        <w:spacing w:before="158"/>
        <w:ind w:left="2127" w:hanging="426"/>
        <w:jc w:val="right"/>
        <w:rPr/>
      </w:pPr>
      <w:r w:rsidR="0021540E">
        <w:rPr/>
        <w:t xml:space="preserve">Common Policies on the Victorian Public Service Enterprise Agreement 2020, including the Review of Actions Common Policy </w:t>
      </w:r>
      <w:r w:rsidR="0021540E">
        <w:rPr/>
        <w:t>and the Employment Categories and Secure Employment Common Policy</w:t>
      </w:r>
      <w:r w:rsidR="0021540E">
        <w:rPr/>
        <w:t xml:space="preserve"> as outlined on the Industrial Relations Victoria website.</w:t>
      </w:r>
    </w:p>
    <w:p w:rsidRPr="0039739D" w:rsidR="00300BE4" w:rsidP="00B32207" w:rsidRDefault="00CB2D8A" w14:paraId="5EEBA7DB" w14:textId="77777777">
      <w:pPr>
        <w:pStyle w:val="ListParagraph"/>
        <w:numPr>
          <w:ilvl w:val="0"/>
          <w:numId w:val="4"/>
        </w:numPr>
        <w:spacing w:before="162" w:line="242" w:lineRule="auto"/>
        <w:ind w:left="2127" w:right="1026" w:hanging="426"/>
      </w:pPr>
      <w:r w:rsidRPr="0039739D">
        <w:t xml:space="preserve">Section 28 of the </w:t>
      </w:r>
      <w:r w:rsidRPr="1B23D02A">
        <w:rPr>
          <w:i/>
          <w:iCs/>
        </w:rPr>
        <w:t>Public Administration Act 2004</w:t>
      </w:r>
      <w:r w:rsidRPr="0039739D">
        <w:t xml:space="preserve"> (the Act) allows for mobility of employees between public service bodies or public entities, on terms and conditions of the employment that are no less favourable overall, and Section 27 of the Act provides for the right of return to a position for</w:t>
      </w:r>
      <w:r w:rsidRPr="0039739D">
        <w:rPr>
          <w:spacing w:val="-14"/>
        </w:rPr>
        <w:t xml:space="preserve"> </w:t>
      </w:r>
      <w:r w:rsidRPr="0039739D">
        <w:t>Executives.</w:t>
      </w:r>
    </w:p>
    <w:p w:rsidRPr="0039739D" w:rsidR="00300BE4" w:rsidP="00B32207" w:rsidRDefault="00CB2D8A" w14:paraId="5EEBA7DC" w14:textId="215F62EE">
      <w:pPr>
        <w:pStyle w:val="ListParagraph"/>
        <w:numPr>
          <w:ilvl w:val="0"/>
          <w:numId w:val="4"/>
        </w:numPr>
        <w:spacing w:before="157" w:line="244" w:lineRule="auto"/>
        <w:ind w:left="2127" w:right="960" w:hanging="426"/>
      </w:pPr>
      <w:r w:rsidRPr="0039739D">
        <w:t xml:space="preserve">Application of this policy must meet </w:t>
      </w:r>
      <w:r w:rsidR="005C7F39">
        <w:t xml:space="preserve">both the mobility and </w:t>
      </w:r>
      <w:r w:rsidRPr="0039739D">
        <w:t>secure employment principles outlined in Part</w:t>
      </w:r>
      <w:r w:rsidRPr="0039739D" w:rsidR="001A5210">
        <w:rPr>
          <w:rFonts w:ascii="Cambria" w:hAnsi="Cambria" w:cs="Cambria"/>
        </w:rPr>
        <w:t> </w:t>
      </w:r>
      <w:r w:rsidRPr="0039739D" w:rsidR="001A5210">
        <w:t>4</w:t>
      </w:r>
      <w:r w:rsidRPr="0039739D">
        <w:t>, clause</w:t>
      </w:r>
      <w:r w:rsidR="00E56CAC">
        <w:t xml:space="preserve"> 15 and clause</w:t>
      </w:r>
      <w:r w:rsidRPr="0039739D">
        <w:t xml:space="preserve"> 1</w:t>
      </w:r>
      <w:r w:rsidRPr="0039739D" w:rsidR="001A5210">
        <w:t>7</w:t>
      </w:r>
      <w:r w:rsidRPr="0039739D">
        <w:t xml:space="preserve"> of the </w:t>
      </w:r>
      <w:r w:rsidRPr="1B23D02A">
        <w:rPr>
          <w:i/>
          <w:iCs/>
        </w:rPr>
        <w:t>Victorian Public Service Enterprise Agreement</w:t>
      </w:r>
      <w:r w:rsidRPr="1B23D02A">
        <w:rPr>
          <w:i/>
          <w:iCs/>
          <w:spacing w:val="-17"/>
        </w:rPr>
        <w:t xml:space="preserve"> </w:t>
      </w:r>
      <w:r w:rsidRPr="1B23D02A">
        <w:rPr>
          <w:i/>
          <w:iCs/>
        </w:rPr>
        <w:t>20</w:t>
      </w:r>
      <w:r w:rsidRPr="1B23D02A" w:rsidR="001A5210">
        <w:rPr>
          <w:i/>
          <w:iCs/>
        </w:rPr>
        <w:t>20</w:t>
      </w:r>
      <w:r w:rsidRPr="0039739D">
        <w:t>.</w:t>
      </w:r>
    </w:p>
    <w:p w:rsidRPr="0039739D" w:rsidR="00300BE4" w:rsidP="00B32207" w:rsidRDefault="00CB2D8A" w14:paraId="5EEBA7DD" w14:textId="1554C183">
      <w:pPr>
        <w:pStyle w:val="ListParagraph"/>
        <w:numPr>
          <w:ilvl w:val="0"/>
          <w:numId w:val="4"/>
        </w:numPr>
        <w:spacing w:before="157"/>
        <w:ind w:left="2127" w:hanging="426"/>
      </w:pPr>
      <w:r w:rsidRPr="1B23D02A">
        <w:rPr>
          <w:i/>
          <w:iCs/>
        </w:rPr>
        <w:t xml:space="preserve">Equal Opportunity Act 2010 </w:t>
      </w:r>
      <w:r w:rsidRPr="004C1128">
        <w:t>(Vic)</w:t>
      </w:r>
      <w:r w:rsidRPr="0039739D">
        <w:t xml:space="preserve"> - Section 12 on Special</w:t>
      </w:r>
      <w:r w:rsidRPr="0039739D">
        <w:rPr>
          <w:spacing w:val="-13"/>
        </w:rPr>
        <w:t xml:space="preserve"> </w:t>
      </w:r>
      <w:r w:rsidRPr="0039739D">
        <w:t>Measures.</w:t>
      </w:r>
    </w:p>
    <w:p w:rsidRPr="0039739D" w:rsidR="00300BE4" w:rsidP="00B32207" w:rsidRDefault="002312A2" w14:paraId="5EEBA7DE" w14:textId="5AD05D89">
      <w:pPr>
        <w:pStyle w:val="ListParagraph"/>
        <w:numPr>
          <w:ilvl w:val="0"/>
          <w:numId w:val="4"/>
        </w:numPr>
        <w:spacing w:before="162"/>
        <w:ind w:left="2127" w:hanging="426"/>
      </w:pPr>
      <w:r>
        <w:t>Public Sector Industrial Relations Policies 2015</w:t>
      </w:r>
      <w:r w:rsidR="00CB2D8A">
        <w:t>.</w:t>
      </w:r>
    </w:p>
    <w:p w:rsidRPr="0039739D" w:rsidR="00300BE4" w:rsidP="00B32207" w:rsidRDefault="00CB2D8A" w14:paraId="5EEBA7DF" w14:textId="77777777">
      <w:pPr>
        <w:pStyle w:val="ListParagraph"/>
        <w:numPr>
          <w:ilvl w:val="0"/>
          <w:numId w:val="13"/>
        </w:numPr>
        <w:spacing w:before="164"/>
        <w:ind w:left="1701" w:hanging="557"/>
      </w:pPr>
      <w:r w:rsidRPr="0039739D">
        <w:t>Other related policies, guidance and legislation</w:t>
      </w:r>
      <w:r w:rsidRPr="0039739D">
        <w:rPr>
          <w:spacing w:val="-8"/>
        </w:rPr>
        <w:t xml:space="preserve"> </w:t>
      </w:r>
      <w:r w:rsidRPr="0039739D">
        <w:t>include:</w:t>
      </w:r>
    </w:p>
    <w:p w:rsidRPr="0039739D" w:rsidR="00300BE4" w:rsidP="00B32207" w:rsidRDefault="00CB2D8A" w14:paraId="5EEBA7E0" w14:textId="552763B0">
      <w:pPr>
        <w:pStyle w:val="ListParagraph"/>
        <w:numPr>
          <w:ilvl w:val="0"/>
          <w:numId w:val="3"/>
        </w:numPr>
        <w:spacing w:before="158"/>
        <w:ind w:left="2127" w:hanging="426"/>
      </w:pPr>
      <w:r w:rsidRPr="0039739D">
        <w:t xml:space="preserve">The </w:t>
      </w:r>
      <w:r w:rsidRPr="004C1128">
        <w:rPr>
          <w:i/>
          <w:iCs/>
        </w:rPr>
        <w:t>Victorian Public Service Enterprise</w:t>
      </w:r>
      <w:r w:rsidRPr="004C1128">
        <w:rPr>
          <w:i/>
          <w:iCs/>
          <w:spacing w:val="-7"/>
        </w:rPr>
        <w:t xml:space="preserve"> </w:t>
      </w:r>
      <w:r w:rsidRPr="004C1128">
        <w:rPr>
          <w:i/>
          <w:iCs/>
        </w:rPr>
        <w:t>Agreement</w:t>
      </w:r>
      <w:r w:rsidRPr="004C1128" w:rsidR="004C1128">
        <w:rPr>
          <w:i/>
          <w:iCs/>
        </w:rPr>
        <w:t xml:space="preserve"> 2020</w:t>
      </w:r>
      <w:r w:rsidRPr="0039739D">
        <w:t>.</w:t>
      </w:r>
    </w:p>
    <w:p w:rsidRPr="0039739D" w:rsidR="00300BE4" w:rsidP="00B32207" w:rsidRDefault="00CB2D8A" w14:paraId="5EEBA7E1" w14:textId="77777777">
      <w:pPr>
        <w:pStyle w:val="ListParagraph"/>
        <w:numPr>
          <w:ilvl w:val="0"/>
          <w:numId w:val="3"/>
        </w:numPr>
        <w:spacing w:before="162"/>
        <w:ind w:left="2127" w:hanging="426"/>
      </w:pPr>
      <w:r w:rsidRPr="0039739D">
        <w:t>Administrative Guidelines for engaging professional services and labour</w:t>
      </w:r>
      <w:r w:rsidRPr="0039739D">
        <w:rPr>
          <w:spacing w:val="-15"/>
        </w:rPr>
        <w:t xml:space="preserve"> </w:t>
      </w:r>
      <w:r w:rsidRPr="0039739D">
        <w:t>hire.</w:t>
      </w:r>
    </w:p>
    <w:p w:rsidRPr="0039739D" w:rsidR="00300BE4" w:rsidP="00B32207" w:rsidRDefault="00CB2D8A" w14:paraId="5EEBA7E2" w14:textId="2D2F5683">
      <w:pPr>
        <w:pStyle w:val="ListParagraph"/>
        <w:numPr>
          <w:ilvl w:val="0"/>
          <w:numId w:val="3"/>
        </w:numPr>
        <w:ind w:left="2127" w:hanging="426"/>
      </w:pPr>
      <w:r w:rsidRPr="004C1128">
        <w:rPr>
          <w:i/>
          <w:iCs/>
        </w:rPr>
        <w:t>Public Administration Act</w:t>
      </w:r>
      <w:r w:rsidRPr="004C1128">
        <w:rPr>
          <w:i/>
          <w:iCs/>
          <w:spacing w:val="-4"/>
        </w:rPr>
        <w:t xml:space="preserve"> </w:t>
      </w:r>
      <w:r w:rsidRPr="004C1128">
        <w:rPr>
          <w:i/>
          <w:iCs/>
        </w:rPr>
        <w:t>2004</w:t>
      </w:r>
      <w:r w:rsidR="004C1128">
        <w:rPr>
          <w:i/>
          <w:iCs/>
        </w:rPr>
        <w:t xml:space="preserve"> </w:t>
      </w:r>
      <w:r w:rsidRPr="004C1128" w:rsidR="004C1128">
        <w:t>(Vic)</w:t>
      </w:r>
      <w:r w:rsidRPr="004C1128">
        <w:t>.</w:t>
      </w:r>
    </w:p>
    <w:p w:rsidR="00300BE4" w:rsidP="00B32207" w:rsidRDefault="00CB2D8A" w14:paraId="5EEBA7E3" w14:textId="531E4358">
      <w:pPr>
        <w:pStyle w:val="ListParagraph"/>
        <w:numPr>
          <w:ilvl w:val="0"/>
          <w:numId w:val="3"/>
        </w:numPr>
        <w:ind w:left="2127" w:hanging="426"/>
      </w:pPr>
      <w:r w:rsidRPr="0039739D">
        <w:t>Public Administration (Review of Action)</w:t>
      </w:r>
      <w:r w:rsidRPr="0039739D">
        <w:rPr>
          <w:spacing w:val="-7"/>
        </w:rPr>
        <w:t xml:space="preserve"> </w:t>
      </w:r>
      <w:r w:rsidRPr="0039739D">
        <w:t>Regulations.</w:t>
      </w:r>
    </w:p>
    <w:p w:rsidRPr="0039739D" w:rsidR="00C15AD8" w:rsidP="00B32207" w:rsidRDefault="00C15AD8" w14:paraId="4B0A7975" w14:textId="12DC7200">
      <w:pPr>
        <w:pStyle w:val="ListParagraph"/>
        <w:numPr>
          <w:ilvl w:val="0"/>
          <w:numId w:val="3"/>
        </w:numPr>
        <w:ind w:left="2127" w:hanging="426"/>
      </w:pPr>
      <w:r>
        <w:t xml:space="preserve">Victorian Public Service Workforce Transition Policy </w:t>
      </w:r>
    </w:p>
    <w:p w:rsidRPr="0039739D" w:rsidR="001A5210" w:rsidP="00B67463" w:rsidRDefault="001A5210" w14:paraId="54848C76" w14:textId="419268F8">
      <w:pPr>
        <w:pStyle w:val="Heading1"/>
        <w:spacing w:before="78"/>
        <w:ind w:right="796"/>
        <w:rPr>
          <w:b/>
          <w:color w:val="217F4B"/>
        </w:rPr>
      </w:pPr>
      <w:bookmarkStart w:name="_Toc122516998" w:id="26"/>
      <w:r w:rsidRPr="0039739D">
        <w:rPr>
          <w:b/>
          <w:color w:val="217F4B"/>
        </w:rPr>
        <w:t>Appendix A – JSE jobs board eligibility</w:t>
      </w:r>
      <w:bookmarkEnd w:id="26"/>
    </w:p>
    <w:p w:rsidRPr="0039739D" w:rsidR="001A5210" w:rsidP="00B32207" w:rsidRDefault="006C56C3" w14:paraId="7C0D7530" w14:textId="42427998">
      <w:pPr>
        <w:pStyle w:val="ListParagraph"/>
        <w:numPr>
          <w:ilvl w:val="0"/>
          <w:numId w:val="13"/>
        </w:numPr>
        <w:spacing w:before="164"/>
        <w:ind w:left="1701" w:right="701" w:hanging="567"/>
      </w:pPr>
      <w:r>
        <w:t>At the commencement of this Policy, t</w:t>
      </w:r>
      <w:r w:rsidR="001A5210">
        <w:t>he following employees are eligible to access and apply for roles through the JSE jobs board:</w:t>
      </w:r>
    </w:p>
    <w:p w:rsidR="00032739" w:rsidP="001D7674" w:rsidRDefault="006C56C3" w14:paraId="2CE116DC" w14:textId="0289DF35">
      <w:pPr>
        <w:pStyle w:val="ListParagraph"/>
        <w:numPr>
          <w:ilvl w:val="1"/>
          <w:numId w:val="13"/>
        </w:numPr>
        <w:spacing w:before="164"/>
        <w:ind w:left="2127" w:right="701" w:hanging="426"/>
      </w:pPr>
      <w:r>
        <w:t xml:space="preserve">People </w:t>
      </w:r>
      <w:r w:rsidR="007F1D7E">
        <w:t xml:space="preserve">employed under Part 3 of the </w:t>
      </w:r>
      <w:r w:rsidRPr="3CA940F4" w:rsidR="007F1D7E">
        <w:rPr>
          <w:i/>
          <w:iCs/>
        </w:rPr>
        <w:t>Public Administration Act</w:t>
      </w:r>
      <w:r w:rsidRPr="3CA940F4" w:rsidR="00E31757">
        <w:rPr>
          <w:i/>
          <w:iCs/>
        </w:rPr>
        <w:t xml:space="preserve"> 2004</w:t>
      </w:r>
      <w:r w:rsidRPr="3CA940F4" w:rsidR="007820B0">
        <w:rPr>
          <w:i/>
          <w:iCs/>
        </w:rPr>
        <w:t xml:space="preserve"> </w:t>
      </w:r>
      <w:r w:rsidR="007820B0">
        <w:t>(Vic)</w:t>
      </w:r>
      <w:r w:rsidR="00060D23">
        <w:t>,</w:t>
      </w:r>
      <w:r w:rsidR="006564BE">
        <w:t xml:space="preserve"> </w:t>
      </w:r>
      <w:r w:rsidR="00646FBC">
        <w:t>being</w:t>
      </w:r>
      <w:r w:rsidR="00A53BB0">
        <w:t xml:space="preserve"> </w:t>
      </w:r>
      <w:bookmarkStart w:name="_Int_24LzDlbo" w:id="27"/>
      <w:r w:rsidR="00904995">
        <w:t>organisations</w:t>
      </w:r>
      <w:bookmarkEnd w:id="27"/>
      <w:r w:rsidR="00904995">
        <w:t xml:space="preserve"> defined as ‘Public Service’ by employer type in the list titled “</w:t>
      </w:r>
      <w:hyperlink r:id="rId21">
        <w:r w:rsidRPr="3CA940F4" w:rsidR="00904995">
          <w:rPr>
            <w:rStyle w:val="Hyperlink"/>
          </w:rPr>
          <w:t>List of public sector agencies</w:t>
        </w:r>
      </w:hyperlink>
      <w:r w:rsidR="00904995">
        <w:t>” maintained by the VPSC on its website (as varied from time to time</w:t>
      </w:r>
      <w:r w:rsidR="00307A23">
        <w:t>).</w:t>
      </w:r>
    </w:p>
    <w:p w:rsidRPr="0039739D" w:rsidR="001A5210" w:rsidP="00B32207" w:rsidRDefault="001A5210" w14:paraId="3F55FF60" w14:textId="3A62013F">
      <w:pPr>
        <w:pStyle w:val="ListParagraph"/>
        <w:numPr>
          <w:ilvl w:val="1"/>
          <w:numId w:val="13"/>
        </w:numPr>
        <w:spacing w:before="164"/>
        <w:ind w:left="2127" w:hanging="426"/>
      </w:pPr>
      <w:r w:rsidRPr="0039739D">
        <w:t>VPS Senior Executive Service (SES).</w:t>
      </w:r>
    </w:p>
    <w:p w:rsidRPr="0039739D" w:rsidR="001A5210" w:rsidP="00B32207" w:rsidRDefault="001A5210" w14:paraId="6132E688" w14:textId="77777777">
      <w:pPr>
        <w:pStyle w:val="ListParagraph"/>
        <w:numPr>
          <w:ilvl w:val="1"/>
          <w:numId w:val="13"/>
        </w:numPr>
        <w:spacing w:before="164"/>
        <w:ind w:left="2127" w:hanging="426"/>
      </w:pPr>
      <w:r w:rsidRPr="0039739D">
        <w:t>All participants (VPS or Victorian Public Entity) of the following programs:</w:t>
      </w:r>
    </w:p>
    <w:p w:rsidR="00C0612F" w:rsidRDefault="001A5210" w14:paraId="355B8120" w14:textId="022A58BE">
      <w:pPr>
        <w:pStyle w:val="ListParagraph"/>
        <w:numPr>
          <w:ilvl w:val="2"/>
          <w:numId w:val="13"/>
        </w:numPr>
        <w:spacing w:before="164"/>
        <w:ind w:left="2835" w:hanging="708"/>
      </w:pPr>
      <w:r w:rsidRPr="0039739D">
        <w:t>Youth Employment Scheme</w:t>
      </w:r>
    </w:p>
    <w:p w:rsidR="00C0612F" w:rsidP="009E1830" w:rsidRDefault="00C0612F" w14:paraId="29915C07" w14:textId="77777777">
      <w:pPr>
        <w:pStyle w:val="ListParagraph"/>
        <w:numPr>
          <w:ilvl w:val="2"/>
          <w:numId w:val="13"/>
        </w:numPr>
        <w:spacing w:before="164"/>
        <w:ind w:left="2835" w:hanging="708"/>
      </w:pPr>
      <w:r>
        <w:t xml:space="preserve">Any Aboriginal internship </w:t>
      </w:r>
      <w:bookmarkStart w:name="_Int_wjo09rUG" w:id="28"/>
      <w:proofErr w:type="gramStart"/>
      <w:r>
        <w:t>program</w:t>
      </w:r>
      <w:bookmarkEnd w:id="28"/>
      <w:proofErr w:type="gramEnd"/>
      <w:r>
        <w:t xml:space="preserve"> </w:t>
      </w:r>
    </w:p>
    <w:p w:rsidR="00C0612F" w:rsidP="009E1830" w:rsidRDefault="00C0612F" w14:paraId="488438C2" w14:textId="77777777">
      <w:pPr>
        <w:pStyle w:val="ListParagraph"/>
        <w:numPr>
          <w:ilvl w:val="2"/>
          <w:numId w:val="13"/>
        </w:numPr>
        <w:spacing w:before="164"/>
        <w:ind w:left="2835" w:hanging="708"/>
      </w:pPr>
      <w:r>
        <w:t>Any internship program for people with disability</w:t>
      </w:r>
    </w:p>
    <w:p w:rsidRPr="0039739D" w:rsidR="001A5210" w:rsidP="009E1830" w:rsidRDefault="00C0612F" w14:paraId="1EE814A1" w14:textId="1398D43B">
      <w:pPr>
        <w:pStyle w:val="ListParagraph"/>
        <w:numPr>
          <w:ilvl w:val="2"/>
          <w:numId w:val="13"/>
        </w:numPr>
        <w:spacing w:before="164"/>
        <w:ind w:left="2835" w:hanging="708"/>
      </w:pPr>
      <w:r>
        <w:t>Any internship program for refugees and asylum seekers</w:t>
      </w:r>
      <w:r w:rsidRPr="0039739D" w:rsidR="001A5210">
        <w:t>.</w:t>
      </w:r>
    </w:p>
    <w:p w:rsidR="007258D4" w:rsidP="00B32207" w:rsidRDefault="001A5210" w14:paraId="351C03FC" w14:textId="77777777">
      <w:pPr>
        <w:pStyle w:val="ListParagraph"/>
        <w:numPr>
          <w:ilvl w:val="1"/>
          <w:numId w:val="13"/>
        </w:numPr>
        <w:spacing w:before="164"/>
        <w:ind w:left="2127" w:hanging="426"/>
      </w:pPr>
      <w:r w:rsidRPr="0039739D">
        <w:t xml:space="preserve">Employees </w:t>
      </w:r>
      <w:r w:rsidR="00646FBC">
        <w:t xml:space="preserve">of organisations that are </w:t>
      </w:r>
      <w:r w:rsidRPr="0039739D">
        <w:t>significantly affected by workforce change</w:t>
      </w:r>
      <w:r w:rsidR="007258D4">
        <w:t xml:space="preserve">, listed in Appendix B. </w:t>
      </w:r>
    </w:p>
    <w:p w:rsidRPr="0039739D" w:rsidR="007A1090" w:rsidP="007A1090" w:rsidRDefault="007A1090" w14:paraId="68443493" w14:textId="77777777">
      <w:pPr>
        <w:pStyle w:val="ListParagraph"/>
        <w:numPr>
          <w:ilvl w:val="1"/>
          <w:numId w:val="13"/>
        </w:numPr>
        <w:spacing w:before="164"/>
        <w:ind w:left="2127" w:right="559" w:hanging="426"/>
      </w:pPr>
      <w:r>
        <w:t xml:space="preserve">Employees </w:t>
      </w:r>
      <w:bookmarkStart w:name="_Int_CatoxCfo" w:id="29"/>
      <w:r>
        <w:t>entitled</w:t>
      </w:r>
      <w:bookmarkEnd w:id="29"/>
      <w:r>
        <w:t xml:space="preserve"> to access VPS vacancies under the terms of the Ballarat and Latrobe Valley Employee Support Package 2018 Deeds.</w:t>
      </w:r>
    </w:p>
    <w:p w:rsidR="007A1090" w:rsidP="001D7674" w:rsidRDefault="007A1090" w14:paraId="17B079FA" w14:textId="2D9B2301">
      <w:pPr>
        <w:pStyle w:val="ListParagraph"/>
        <w:numPr>
          <w:ilvl w:val="1"/>
          <w:numId w:val="13"/>
        </w:numPr>
        <w:spacing w:before="164"/>
        <w:ind w:left="2127" w:right="559" w:hanging="426"/>
      </w:pPr>
      <w:r w:rsidRPr="0039739D">
        <w:t>All employees of the Teaching Service, per s2.</w:t>
      </w:r>
      <w:r w:rsidR="00780116">
        <w:t>4</w:t>
      </w:r>
      <w:r w:rsidRPr="0039739D">
        <w:t xml:space="preserve">.37 of the </w:t>
      </w:r>
      <w:r w:rsidRPr="0039739D">
        <w:rPr>
          <w:i/>
          <w:iCs/>
        </w:rPr>
        <w:t>Education Training and Reform Act 2006</w:t>
      </w:r>
      <w:r>
        <w:rPr>
          <w:i/>
          <w:iCs/>
        </w:rPr>
        <w:t xml:space="preserve"> </w:t>
      </w:r>
      <w:r w:rsidRPr="007820B0">
        <w:t>(Vic).</w:t>
      </w:r>
    </w:p>
    <w:p w:rsidR="00C04D7F" w:rsidP="00C04D7F" w:rsidRDefault="00C04D7F" w14:paraId="796C16F1" w14:textId="77777777">
      <w:pPr>
        <w:pStyle w:val="ListParagraph"/>
        <w:numPr>
          <w:ilvl w:val="1"/>
          <w:numId w:val="13"/>
        </w:numPr>
        <w:spacing w:before="164"/>
        <w:ind w:left="2127" w:right="559" w:hanging="426"/>
      </w:pPr>
      <w:r>
        <w:t xml:space="preserve">Nominated employees of the Victoria 2026 Commonwealth Games Organising Committee (Vic2026OC) whose transfer to Vic2026OC was directed by the Secretary of Department of Jobs Precincts and Regions (DJPR) via section 28 of the </w:t>
      </w:r>
      <w:r w:rsidRPr="00A073FC">
        <w:rPr>
          <w:i/>
          <w:iCs/>
        </w:rPr>
        <w:t>Public Administration Act 2004</w:t>
      </w:r>
      <w:r>
        <w:t xml:space="preserve"> (Vic). JSE access will </w:t>
      </w:r>
      <w:bookmarkStart w:name="_Hlk142060406" w:id="30"/>
      <w:r>
        <w:t>commence from 5 December 2022 (the date of transfer) to the end date of their fixed term contract</w:t>
      </w:r>
      <w:bookmarkEnd w:id="30"/>
      <w:r>
        <w:t xml:space="preserve">. Nominated employees will be eligible for </w:t>
      </w:r>
      <w:bookmarkStart w:name="_Hlk142061106" w:id="31"/>
      <w:r>
        <w:t>JSE access after they leave their employment in accordance with clause 30 of this policy</w:t>
      </w:r>
      <w:bookmarkEnd w:id="31"/>
      <w:r>
        <w:t>.</w:t>
      </w:r>
    </w:p>
    <w:p w:rsidR="005958C3" w:rsidP="00C04D7F" w:rsidRDefault="005958C3" w14:paraId="53A4D861" w14:textId="77777777">
      <w:pPr>
        <w:pStyle w:val="ListParagraph"/>
        <w:spacing w:before="164"/>
        <w:ind w:left="2127" w:right="559" w:firstLine="0"/>
      </w:pPr>
    </w:p>
    <w:p w:rsidR="007258D4" w:rsidRDefault="007258D4" w14:paraId="1DBFEE9D" w14:textId="77777777">
      <w:r>
        <w:br w:type="page"/>
      </w:r>
    </w:p>
    <w:p w:rsidR="001A5210" w:rsidP="005D6255" w:rsidRDefault="005D6255" w14:paraId="486C22AE" w14:textId="7964DBEF">
      <w:pPr>
        <w:pStyle w:val="Heading1"/>
        <w:spacing w:before="78"/>
        <w:ind w:right="796"/>
      </w:pPr>
      <w:bookmarkStart w:name="_Toc122516999" w:id="32"/>
      <w:r w:rsidRPr="0039739D">
        <w:rPr>
          <w:b/>
          <w:color w:val="217F4B"/>
        </w:rPr>
        <w:t xml:space="preserve">Appendix </w:t>
      </w:r>
      <w:r w:rsidR="007A1090">
        <w:rPr>
          <w:b/>
          <w:color w:val="217F4B"/>
        </w:rPr>
        <w:t>B</w:t>
      </w:r>
      <w:r>
        <w:rPr>
          <w:b/>
          <w:color w:val="217F4B"/>
        </w:rPr>
        <w:t xml:space="preserve"> </w:t>
      </w:r>
      <w:r w:rsidR="003F71F5">
        <w:rPr>
          <w:b/>
          <w:color w:val="217F4B"/>
        </w:rPr>
        <w:t>–</w:t>
      </w:r>
      <w:r>
        <w:rPr>
          <w:b/>
          <w:color w:val="217F4B"/>
        </w:rPr>
        <w:t xml:space="preserve"> </w:t>
      </w:r>
      <w:r w:rsidR="007A1090">
        <w:rPr>
          <w:b/>
          <w:color w:val="217F4B"/>
        </w:rPr>
        <w:t>Organisations significantly</w:t>
      </w:r>
      <w:r w:rsidR="003F71F5">
        <w:rPr>
          <w:b/>
          <w:color w:val="217F4B"/>
        </w:rPr>
        <w:t xml:space="preserve"> affected by workforce </w:t>
      </w:r>
      <w:proofErr w:type="gramStart"/>
      <w:r w:rsidR="003F71F5">
        <w:rPr>
          <w:b/>
          <w:color w:val="217F4B"/>
        </w:rPr>
        <w:t>change</w:t>
      </w:r>
      <w:bookmarkEnd w:id="32"/>
      <w:proofErr w:type="gramEnd"/>
    </w:p>
    <w:p w:rsidR="007A1090" w:rsidP="001D7674" w:rsidRDefault="007A1090" w14:paraId="1A6D324B" w14:textId="77777777">
      <w:pPr>
        <w:pStyle w:val="Heading1"/>
        <w:spacing w:before="78"/>
        <w:ind w:right="796"/>
      </w:pPr>
    </w:p>
    <w:tbl>
      <w:tblPr>
        <w:tblStyle w:val="TableGrid"/>
        <w:tblW w:w="0" w:type="auto"/>
        <w:tblInd w:w="1242" w:type="dxa"/>
        <w:tblLook w:val="04A0" w:firstRow="1" w:lastRow="0" w:firstColumn="1" w:lastColumn="0" w:noHBand="0" w:noVBand="1"/>
      </w:tblPr>
      <w:tblGrid>
        <w:gridCol w:w="733"/>
        <w:gridCol w:w="4370"/>
        <w:gridCol w:w="2268"/>
        <w:gridCol w:w="2200"/>
      </w:tblGrid>
      <w:tr w:rsidR="003E5B11" w:rsidTr="00A82A87" w14:paraId="6D71712A" w14:textId="77777777">
        <w:tc>
          <w:tcPr>
            <w:tcW w:w="733" w:type="dxa"/>
          </w:tcPr>
          <w:p w:rsidRPr="00A220DF" w:rsidR="003E5B11" w:rsidP="00FA6C47" w:rsidRDefault="003805B9" w14:paraId="2A9BA574" w14:textId="085D3FDE">
            <w:pPr>
              <w:spacing w:before="164"/>
              <w:rPr>
                <w:b/>
                <w:bCs/>
              </w:rPr>
            </w:pPr>
            <w:r w:rsidRPr="00A220DF">
              <w:rPr>
                <w:b/>
                <w:bCs/>
              </w:rPr>
              <w:t>#</w:t>
            </w:r>
          </w:p>
        </w:tc>
        <w:tc>
          <w:tcPr>
            <w:tcW w:w="4370" w:type="dxa"/>
          </w:tcPr>
          <w:p w:rsidRPr="00A220DF" w:rsidR="003E5B11" w:rsidP="00FA6C47" w:rsidRDefault="003E5B11" w14:paraId="30270E2F" w14:textId="45ABD7A5">
            <w:pPr>
              <w:spacing w:before="164"/>
              <w:rPr>
                <w:b/>
                <w:bCs/>
              </w:rPr>
            </w:pPr>
            <w:r w:rsidRPr="00A220DF">
              <w:rPr>
                <w:b/>
                <w:bCs/>
              </w:rPr>
              <w:t>Organisation</w:t>
            </w:r>
          </w:p>
        </w:tc>
        <w:tc>
          <w:tcPr>
            <w:tcW w:w="2268" w:type="dxa"/>
          </w:tcPr>
          <w:p w:rsidRPr="00A220DF" w:rsidR="003E5B11" w:rsidP="00FA6C47" w:rsidRDefault="003E5B11" w14:paraId="65580002" w14:textId="01933B79">
            <w:pPr>
              <w:spacing w:before="164"/>
              <w:rPr>
                <w:b/>
                <w:bCs/>
              </w:rPr>
            </w:pPr>
            <w:r w:rsidRPr="00A220DF">
              <w:rPr>
                <w:b/>
                <w:bCs/>
              </w:rPr>
              <w:t xml:space="preserve">Start </w:t>
            </w:r>
            <w:r w:rsidRPr="00A220DF" w:rsidR="003805B9">
              <w:rPr>
                <w:b/>
                <w:bCs/>
              </w:rPr>
              <w:t xml:space="preserve">access </w:t>
            </w:r>
            <w:r w:rsidRPr="00A220DF">
              <w:rPr>
                <w:b/>
                <w:bCs/>
              </w:rPr>
              <w:t>date</w:t>
            </w:r>
          </w:p>
        </w:tc>
        <w:tc>
          <w:tcPr>
            <w:tcW w:w="2200" w:type="dxa"/>
          </w:tcPr>
          <w:p w:rsidRPr="00A220DF" w:rsidR="003E5B11" w:rsidP="00FA6C47" w:rsidRDefault="003E5B11" w14:paraId="7C052BE2" w14:textId="704231D2">
            <w:pPr>
              <w:spacing w:before="164"/>
              <w:rPr>
                <w:b/>
                <w:bCs/>
              </w:rPr>
            </w:pPr>
            <w:r w:rsidRPr="00A220DF">
              <w:rPr>
                <w:b/>
                <w:bCs/>
              </w:rPr>
              <w:t xml:space="preserve">End </w:t>
            </w:r>
            <w:r w:rsidRPr="00A220DF" w:rsidR="003805B9">
              <w:rPr>
                <w:b/>
                <w:bCs/>
              </w:rPr>
              <w:t>access date</w:t>
            </w:r>
          </w:p>
        </w:tc>
      </w:tr>
      <w:tr w:rsidR="004D2B93" w:rsidTr="00A82A87" w14:paraId="40BA3784" w14:textId="77777777">
        <w:tc>
          <w:tcPr>
            <w:tcW w:w="733" w:type="dxa"/>
          </w:tcPr>
          <w:p w:rsidR="004D2B93" w:rsidP="004D2B93" w:rsidRDefault="004D2B93" w14:paraId="03E2B2E0" w14:textId="2F9C4770">
            <w:pPr>
              <w:spacing w:before="164"/>
            </w:pPr>
            <w:proofErr w:type="spellStart"/>
            <w:r>
              <w:t>i</w:t>
            </w:r>
            <w:proofErr w:type="spellEnd"/>
          </w:p>
        </w:tc>
        <w:tc>
          <w:tcPr>
            <w:tcW w:w="4370" w:type="dxa"/>
          </w:tcPr>
          <w:p w:rsidRPr="0039739D" w:rsidR="004D2B93" w:rsidP="004D2B93" w:rsidRDefault="004D2B93" w14:paraId="2AF4FB4A" w14:textId="5E81BA17">
            <w:pPr>
              <w:spacing w:before="164"/>
            </w:pPr>
            <w:r>
              <w:t>Royal Botanic Gardens Victoria</w:t>
            </w:r>
          </w:p>
        </w:tc>
        <w:tc>
          <w:tcPr>
            <w:tcW w:w="2268" w:type="dxa"/>
          </w:tcPr>
          <w:p w:rsidR="004D2B93" w:rsidP="004D2B93" w:rsidRDefault="004D2B93" w14:paraId="13591D67" w14:textId="31CCE28B">
            <w:pPr>
              <w:spacing w:before="164"/>
            </w:pPr>
            <w:r>
              <w:t>24 May 2021</w:t>
            </w:r>
          </w:p>
        </w:tc>
        <w:tc>
          <w:tcPr>
            <w:tcW w:w="2200" w:type="dxa"/>
          </w:tcPr>
          <w:p w:rsidR="004D2B93" w:rsidP="004D2B93" w:rsidRDefault="004D2B93" w14:paraId="5CC9B1E3" w14:textId="1C1BAE56">
            <w:pPr>
              <w:spacing w:before="164"/>
            </w:pPr>
            <w:r>
              <w:t>25 November 2021</w:t>
            </w:r>
          </w:p>
        </w:tc>
      </w:tr>
      <w:tr w:rsidR="004D2B93" w:rsidTr="00A82A87" w14:paraId="21FE4E88" w14:textId="77777777">
        <w:tc>
          <w:tcPr>
            <w:tcW w:w="733" w:type="dxa"/>
          </w:tcPr>
          <w:p w:rsidR="004D2B93" w:rsidP="004D2B93" w:rsidRDefault="004D2B93" w14:paraId="13F21B4C" w14:textId="120D73E3">
            <w:pPr>
              <w:spacing w:before="164"/>
            </w:pPr>
            <w:r>
              <w:t>ii</w:t>
            </w:r>
          </w:p>
        </w:tc>
        <w:tc>
          <w:tcPr>
            <w:tcW w:w="4370" w:type="dxa"/>
          </w:tcPr>
          <w:p w:rsidRPr="0039739D" w:rsidR="004D2B93" w:rsidP="004D2B93" w:rsidRDefault="004D2B93" w14:paraId="4A0DF392" w14:textId="6CFBE9CA">
            <w:pPr>
              <w:spacing w:before="164"/>
            </w:pPr>
            <w:r>
              <w:t>Westernport Water</w:t>
            </w:r>
          </w:p>
        </w:tc>
        <w:tc>
          <w:tcPr>
            <w:tcW w:w="2268" w:type="dxa"/>
          </w:tcPr>
          <w:p w:rsidR="004D2B93" w:rsidP="004D2B93" w:rsidRDefault="004D2B93" w14:paraId="14461463" w14:textId="1744CE57">
            <w:pPr>
              <w:spacing w:before="164"/>
            </w:pPr>
            <w:r>
              <w:t>7 June 2021</w:t>
            </w:r>
          </w:p>
        </w:tc>
        <w:tc>
          <w:tcPr>
            <w:tcW w:w="2200" w:type="dxa"/>
          </w:tcPr>
          <w:p w:rsidR="004D2B93" w:rsidP="004D2B93" w:rsidRDefault="004D2B93" w14:paraId="5F88E677" w14:textId="45AC9F12">
            <w:pPr>
              <w:spacing w:before="164"/>
            </w:pPr>
            <w:r>
              <w:t>7 December 2021</w:t>
            </w:r>
          </w:p>
        </w:tc>
      </w:tr>
      <w:tr w:rsidR="004D2B93" w:rsidTr="00A82A87" w14:paraId="39AD0EF2" w14:textId="77777777">
        <w:tc>
          <w:tcPr>
            <w:tcW w:w="733" w:type="dxa"/>
          </w:tcPr>
          <w:p w:rsidR="004D2B93" w:rsidP="004D2B93" w:rsidRDefault="004D2B93" w14:paraId="340F4009" w14:textId="53BAFED9">
            <w:pPr>
              <w:spacing w:before="164"/>
            </w:pPr>
            <w:r>
              <w:t>iii</w:t>
            </w:r>
          </w:p>
        </w:tc>
        <w:tc>
          <w:tcPr>
            <w:tcW w:w="4370" w:type="dxa"/>
          </w:tcPr>
          <w:p w:rsidR="004D2B93" w:rsidP="004D2B93" w:rsidRDefault="004D2B93" w14:paraId="481862C6" w14:textId="41090DBA">
            <w:pPr>
              <w:spacing w:before="164"/>
            </w:pPr>
            <w:r w:rsidRPr="0039739D">
              <w:t>Victorian Health Promotion Foundation (VicHealth)</w:t>
            </w:r>
          </w:p>
        </w:tc>
        <w:tc>
          <w:tcPr>
            <w:tcW w:w="2268" w:type="dxa"/>
          </w:tcPr>
          <w:p w:rsidR="00B07DAA" w:rsidP="00216218" w:rsidRDefault="004D2B93" w14:paraId="6A922709" w14:textId="38AE6CEF">
            <w:pPr>
              <w:spacing w:before="164"/>
            </w:pPr>
            <w:r>
              <w:t>14 June</w:t>
            </w:r>
            <w:r w:rsidR="00216218">
              <w:t xml:space="preserve"> </w:t>
            </w:r>
            <w:r>
              <w:t>2021</w:t>
            </w:r>
          </w:p>
        </w:tc>
        <w:tc>
          <w:tcPr>
            <w:tcW w:w="2200" w:type="dxa"/>
          </w:tcPr>
          <w:p w:rsidR="00B07DAA" w:rsidP="004D2B93" w:rsidRDefault="004D2B93" w14:paraId="03F06DB3" w14:textId="0BE7C5AA">
            <w:pPr>
              <w:spacing w:before="164"/>
            </w:pPr>
            <w:r>
              <w:t>14 December 2021</w:t>
            </w:r>
          </w:p>
        </w:tc>
      </w:tr>
      <w:tr w:rsidR="004D2B93" w:rsidTr="00A82A87" w14:paraId="5293D33D" w14:textId="77777777">
        <w:tc>
          <w:tcPr>
            <w:tcW w:w="733" w:type="dxa"/>
          </w:tcPr>
          <w:p w:rsidR="004D2B93" w:rsidP="004D2B93" w:rsidRDefault="004D2B93" w14:paraId="4AAC2E7B" w14:textId="20F89EB0">
            <w:pPr>
              <w:spacing w:before="164"/>
            </w:pPr>
            <w:r>
              <w:t>iv</w:t>
            </w:r>
          </w:p>
        </w:tc>
        <w:tc>
          <w:tcPr>
            <w:tcW w:w="4370" w:type="dxa"/>
          </w:tcPr>
          <w:p w:rsidR="004D2B93" w:rsidP="004D2B93" w:rsidRDefault="004D2B93" w14:paraId="4A8009FC" w14:textId="07E4B399">
            <w:pPr>
              <w:spacing w:before="164"/>
            </w:pPr>
            <w:r>
              <w:t>Glenelg Hopkins Catchment Management Authority (GHCMA)</w:t>
            </w:r>
          </w:p>
        </w:tc>
        <w:tc>
          <w:tcPr>
            <w:tcW w:w="2268" w:type="dxa"/>
          </w:tcPr>
          <w:p w:rsidR="004D2B93" w:rsidP="004D2B93" w:rsidRDefault="004D2B93" w14:paraId="4E5F9E9F" w14:textId="3B011395">
            <w:pPr>
              <w:spacing w:before="164"/>
            </w:pPr>
            <w:r>
              <w:t>24 June 2021</w:t>
            </w:r>
          </w:p>
          <w:p w:rsidR="00C02EBB" w:rsidP="004D2B93" w:rsidRDefault="00C02EBB" w14:paraId="2D0BF891" w14:textId="5B2BED4F">
            <w:pPr>
              <w:spacing w:before="164"/>
            </w:pPr>
          </w:p>
        </w:tc>
        <w:tc>
          <w:tcPr>
            <w:tcW w:w="2200" w:type="dxa"/>
          </w:tcPr>
          <w:p w:rsidR="00C02EBB" w:rsidP="004D2B93" w:rsidRDefault="004D2B93" w14:paraId="3F4B9B5B" w14:textId="4131E11B">
            <w:pPr>
              <w:spacing w:before="164"/>
            </w:pPr>
            <w:r>
              <w:t>24 December 2021</w:t>
            </w:r>
          </w:p>
        </w:tc>
      </w:tr>
      <w:tr w:rsidR="004D2B93" w:rsidTr="00A82A87" w14:paraId="13BCAB54" w14:textId="77777777">
        <w:tc>
          <w:tcPr>
            <w:tcW w:w="733" w:type="dxa"/>
          </w:tcPr>
          <w:p w:rsidR="004D2B93" w:rsidP="004D2B93" w:rsidRDefault="004D2B93" w14:paraId="29A61993" w14:textId="1DB85D6E">
            <w:pPr>
              <w:spacing w:before="164"/>
            </w:pPr>
            <w:r>
              <w:t>v</w:t>
            </w:r>
          </w:p>
        </w:tc>
        <w:tc>
          <w:tcPr>
            <w:tcW w:w="4370" w:type="dxa"/>
          </w:tcPr>
          <w:p w:rsidR="004D2B93" w:rsidP="004D2B93" w:rsidRDefault="004D2B93" w14:paraId="642FD8DE" w14:textId="3DDB4757">
            <w:pPr>
              <w:spacing w:before="164"/>
            </w:pPr>
            <w:r>
              <w:t>State Library of Victoria</w:t>
            </w:r>
          </w:p>
        </w:tc>
        <w:tc>
          <w:tcPr>
            <w:tcW w:w="2268" w:type="dxa"/>
          </w:tcPr>
          <w:p w:rsidR="004D2B93" w:rsidP="004D2B93" w:rsidRDefault="004D2B93" w14:paraId="1A9FACE5" w14:textId="204C9BF1">
            <w:pPr>
              <w:spacing w:before="164"/>
            </w:pPr>
            <w:r>
              <w:t>4 November 2021</w:t>
            </w:r>
          </w:p>
        </w:tc>
        <w:tc>
          <w:tcPr>
            <w:tcW w:w="2200" w:type="dxa"/>
          </w:tcPr>
          <w:p w:rsidR="004D2B93" w:rsidP="004D2B93" w:rsidRDefault="004D2B93" w14:paraId="7AB88469" w14:textId="36071D08">
            <w:pPr>
              <w:spacing w:before="164"/>
            </w:pPr>
            <w:r>
              <w:t>4 May 2022</w:t>
            </w:r>
          </w:p>
        </w:tc>
      </w:tr>
      <w:tr w:rsidR="004D2B93" w:rsidTr="00A82A87" w14:paraId="2F8F6F16" w14:textId="77777777">
        <w:tc>
          <w:tcPr>
            <w:tcW w:w="733" w:type="dxa"/>
            <w:tcBorders>
              <w:bottom w:val="single" w:color="auto" w:sz="4" w:space="0"/>
            </w:tcBorders>
          </w:tcPr>
          <w:p w:rsidR="004D2B93" w:rsidP="004D2B93" w:rsidRDefault="004D2B93" w14:paraId="2AF79F3B" w14:textId="44E50600">
            <w:pPr>
              <w:spacing w:before="164"/>
            </w:pPr>
            <w:r>
              <w:t>vi</w:t>
            </w:r>
          </w:p>
        </w:tc>
        <w:tc>
          <w:tcPr>
            <w:tcW w:w="4370" w:type="dxa"/>
            <w:tcBorders>
              <w:bottom w:val="single" w:color="auto" w:sz="4" w:space="0"/>
            </w:tcBorders>
          </w:tcPr>
          <w:p w:rsidR="004D2B93" w:rsidP="004D2B93" w:rsidRDefault="004D2B93" w14:paraId="78A473AC" w14:textId="72A560D9">
            <w:pPr>
              <w:spacing w:before="164"/>
            </w:pPr>
            <w:r>
              <w:t>Victorian Building Authority (VBA)</w:t>
            </w:r>
          </w:p>
        </w:tc>
        <w:tc>
          <w:tcPr>
            <w:tcW w:w="2268" w:type="dxa"/>
          </w:tcPr>
          <w:p w:rsidR="004D2B93" w:rsidP="004D2B93" w:rsidRDefault="004D2B93" w14:paraId="57F67423" w14:textId="56392BC7">
            <w:pPr>
              <w:spacing w:before="164"/>
            </w:pPr>
            <w:r>
              <w:t>5 November 2021</w:t>
            </w:r>
          </w:p>
        </w:tc>
        <w:tc>
          <w:tcPr>
            <w:tcW w:w="2200" w:type="dxa"/>
          </w:tcPr>
          <w:p w:rsidR="004D2B93" w:rsidP="004D2B93" w:rsidRDefault="004D2B93" w14:paraId="24D236DC" w14:textId="0FDA70EE">
            <w:pPr>
              <w:spacing w:before="164"/>
            </w:pPr>
            <w:r>
              <w:t>5 May 2022</w:t>
            </w:r>
          </w:p>
        </w:tc>
      </w:tr>
      <w:tr w:rsidR="004D2B93" w:rsidTr="00A82A87" w14:paraId="45E4BEB1" w14:textId="77777777">
        <w:tc>
          <w:tcPr>
            <w:tcW w:w="733" w:type="dxa"/>
            <w:tcBorders>
              <w:bottom w:val="nil"/>
            </w:tcBorders>
          </w:tcPr>
          <w:p w:rsidR="004D2B93" w:rsidP="004D2B93" w:rsidRDefault="004D2B93" w14:paraId="5C498E03" w14:textId="72C3EE30">
            <w:pPr>
              <w:spacing w:before="164"/>
            </w:pPr>
            <w:r>
              <w:t>vii</w:t>
            </w:r>
          </w:p>
        </w:tc>
        <w:tc>
          <w:tcPr>
            <w:tcW w:w="4370" w:type="dxa"/>
            <w:tcBorders>
              <w:bottom w:val="nil"/>
            </w:tcBorders>
          </w:tcPr>
          <w:p w:rsidR="004D2B93" w:rsidP="004D2B93" w:rsidRDefault="004D2B93" w14:paraId="0CD9DEA9" w14:textId="572D8906">
            <w:pPr>
              <w:spacing w:before="164"/>
            </w:pPr>
            <w:r>
              <w:t>Mt Buller Mt Stirling Alpine Resort Management Board (MBARMB)</w:t>
            </w:r>
          </w:p>
        </w:tc>
        <w:tc>
          <w:tcPr>
            <w:tcW w:w="2268" w:type="dxa"/>
          </w:tcPr>
          <w:p w:rsidR="004D2B93" w:rsidP="004D2B93" w:rsidRDefault="004D2B93" w14:paraId="1D3FBD82" w14:textId="311F579D">
            <w:pPr>
              <w:spacing w:before="164"/>
            </w:pPr>
            <w:r>
              <w:t>11 April 2022</w:t>
            </w:r>
          </w:p>
        </w:tc>
        <w:tc>
          <w:tcPr>
            <w:tcW w:w="2200" w:type="dxa"/>
          </w:tcPr>
          <w:p w:rsidR="004D2B93" w:rsidP="004D2B93" w:rsidRDefault="004D2B93" w14:paraId="3155DBF9" w14:textId="3B9B23E6">
            <w:pPr>
              <w:spacing w:before="164"/>
            </w:pPr>
            <w:r>
              <w:t>11 October 2022</w:t>
            </w:r>
          </w:p>
        </w:tc>
      </w:tr>
      <w:tr w:rsidR="00A76CCE" w:rsidTr="00A82A87" w14:paraId="064EDA93" w14:textId="77777777">
        <w:tc>
          <w:tcPr>
            <w:tcW w:w="733" w:type="dxa"/>
            <w:tcBorders>
              <w:top w:val="nil"/>
            </w:tcBorders>
          </w:tcPr>
          <w:p w:rsidR="00A76CCE" w:rsidP="004D2B93" w:rsidRDefault="00A76CCE" w14:paraId="1ED98C35" w14:textId="77777777">
            <w:pPr>
              <w:spacing w:before="164"/>
            </w:pPr>
          </w:p>
        </w:tc>
        <w:tc>
          <w:tcPr>
            <w:tcW w:w="4370" w:type="dxa"/>
            <w:tcBorders>
              <w:top w:val="nil"/>
            </w:tcBorders>
          </w:tcPr>
          <w:p w:rsidR="00A76CCE" w:rsidP="004D2B93" w:rsidRDefault="000913F1" w14:paraId="1AE4999C" w14:textId="76319ED5">
            <w:pPr>
              <w:spacing w:before="164"/>
            </w:pPr>
            <w:r>
              <w:t>* Further period of access</w:t>
            </w:r>
          </w:p>
        </w:tc>
        <w:tc>
          <w:tcPr>
            <w:tcW w:w="2268" w:type="dxa"/>
          </w:tcPr>
          <w:p w:rsidR="00A76CCE" w:rsidP="004D2B93" w:rsidRDefault="000913F1" w14:paraId="4EE5ACAB" w14:textId="1E31C073">
            <w:pPr>
              <w:spacing w:before="164"/>
            </w:pPr>
            <w:r>
              <w:t>11 October 2022</w:t>
            </w:r>
          </w:p>
        </w:tc>
        <w:tc>
          <w:tcPr>
            <w:tcW w:w="2200" w:type="dxa"/>
          </w:tcPr>
          <w:p w:rsidR="00A76CCE" w:rsidP="004D2B93" w:rsidRDefault="000913F1" w14:paraId="5C1E0266" w14:textId="711ECF70">
            <w:pPr>
              <w:spacing w:before="164"/>
            </w:pPr>
            <w:r>
              <w:t>11 April 2023</w:t>
            </w:r>
          </w:p>
        </w:tc>
      </w:tr>
      <w:tr w:rsidR="00A76CCE" w:rsidTr="00A82A87" w14:paraId="3AAA5BBA" w14:textId="77777777">
        <w:tc>
          <w:tcPr>
            <w:tcW w:w="733" w:type="dxa"/>
          </w:tcPr>
          <w:p w:rsidR="00A76CCE" w:rsidP="00A76CCE" w:rsidRDefault="00A76CCE" w14:paraId="3D8D9D71" w14:textId="1B38A55E">
            <w:pPr>
              <w:spacing w:before="164"/>
            </w:pPr>
            <w:r>
              <w:t>viii</w:t>
            </w:r>
          </w:p>
        </w:tc>
        <w:tc>
          <w:tcPr>
            <w:tcW w:w="4370" w:type="dxa"/>
          </w:tcPr>
          <w:p w:rsidR="00A76CCE" w:rsidP="00A76CCE" w:rsidRDefault="00A76CCE" w14:paraId="7CDDE046" w14:textId="672CD539">
            <w:pPr>
              <w:spacing w:before="164"/>
            </w:pPr>
            <w:r>
              <w:t>Southern Alpine Resort Management Board</w:t>
            </w:r>
          </w:p>
        </w:tc>
        <w:tc>
          <w:tcPr>
            <w:tcW w:w="2268" w:type="dxa"/>
          </w:tcPr>
          <w:p w:rsidR="00A76CCE" w:rsidP="00A76CCE" w:rsidRDefault="00A76CCE" w14:paraId="66F1D0AB" w14:textId="471B2235">
            <w:pPr>
              <w:spacing w:before="164"/>
            </w:pPr>
            <w:r>
              <w:t>11 April 2022</w:t>
            </w:r>
          </w:p>
        </w:tc>
        <w:tc>
          <w:tcPr>
            <w:tcW w:w="2200" w:type="dxa"/>
          </w:tcPr>
          <w:p w:rsidR="00A76CCE" w:rsidP="00A76CCE" w:rsidRDefault="00A76CCE" w14:paraId="65DF180B" w14:textId="3CCE62DB">
            <w:pPr>
              <w:spacing w:before="164"/>
            </w:pPr>
            <w:r>
              <w:t>11 October 2022</w:t>
            </w:r>
          </w:p>
        </w:tc>
      </w:tr>
      <w:tr w:rsidR="00B2151A" w:rsidTr="00A82A87" w14:paraId="25335E88" w14:textId="77777777">
        <w:tc>
          <w:tcPr>
            <w:tcW w:w="733" w:type="dxa"/>
          </w:tcPr>
          <w:p w:rsidR="00B2151A" w:rsidP="00B2151A" w:rsidRDefault="00775835" w14:paraId="6E8ADD30" w14:textId="4E426DCF">
            <w:pPr>
              <w:spacing w:before="164"/>
            </w:pPr>
            <w:r>
              <w:t>ix</w:t>
            </w:r>
          </w:p>
        </w:tc>
        <w:tc>
          <w:tcPr>
            <w:tcW w:w="4370" w:type="dxa"/>
          </w:tcPr>
          <w:p w:rsidR="00B2151A" w:rsidP="00B2151A" w:rsidRDefault="00B2151A" w14:paraId="60547624" w14:textId="616D7D19">
            <w:pPr>
              <w:spacing w:before="164"/>
            </w:pPr>
            <w:r>
              <w:t>Mt Hotham Resort Management</w:t>
            </w:r>
          </w:p>
        </w:tc>
        <w:tc>
          <w:tcPr>
            <w:tcW w:w="2268" w:type="dxa"/>
          </w:tcPr>
          <w:p w:rsidR="00B2151A" w:rsidP="00B2151A" w:rsidRDefault="00B2151A" w14:paraId="23453F16" w14:textId="325765D6">
            <w:pPr>
              <w:spacing w:before="164"/>
            </w:pPr>
            <w:r>
              <w:t>9 June 2022</w:t>
            </w:r>
          </w:p>
        </w:tc>
        <w:tc>
          <w:tcPr>
            <w:tcW w:w="2200" w:type="dxa"/>
          </w:tcPr>
          <w:p w:rsidR="00B2151A" w:rsidP="00B2151A" w:rsidRDefault="00B2151A" w14:paraId="3291FA12" w14:textId="0661ED9C">
            <w:pPr>
              <w:spacing w:before="164"/>
            </w:pPr>
            <w:r>
              <w:t>9 December 2022</w:t>
            </w:r>
          </w:p>
        </w:tc>
      </w:tr>
      <w:tr w:rsidR="00A76CCE" w:rsidTr="00A82A87" w14:paraId="51F29498" w14:textId="77777777">
        <w:tc>
          <w:tcPr>
            <w:tcW w:w="733" w:type="dxa"/>
          </w:tcPr>
          <w:p w:rsidR="00A76CCE" w:rsidDel="00775835" w:rsidP="00A76CCE" w:rsidRDefault="00A76CCE" w14:paraId="20E47B98" w14:textId="216F00E0">
            <w:pPr>
              <w:spacing w:before="164"/>
            </w:pPr>
            <w:r>
              <w:t>x</w:t>
            </w:r>
          </w:p>
        </w:tc>
        <w:tc>
          <w:tcPr>
            <w:tcW w:w="4370" w:type="dxa"/>
          </w:tcPr>
          <w:p w:rsidR="00A76CCE" w:rsidP="00A76CCE" w:rsidRDefault="00A76CCE" w14:paraId="78663EAC" w14:textId="3A8146B9">
            <w:pPr>
              <w:spacing w:before="164"/>
            </w:pPr>
            <w:r>
              <w:t xml:space="preserve">Country Fire Authority </w:t>
            </w:r>
          </w:p>
        </w:tc>
        <w:tc>
          <w:tcPr>
            <w:tcW w:w="2268" w:type="dxa"/>
          </w:tcPr>
          <w:p w:rsidR="00A76CCE" w:rsidP="00A76CCE" w:rsidRDefault="00A76CCE" w14:paraId="057F3F21" w14:textId="5B1DA1B6">
            <w:pPr>
              <w:spacing w:before="164"/>
            </w:pPr>
            <w:r>
              <w:t>30 August 2022</w:t>
            </w:r>
          </w:p>
        </w:tc>
        <w:tc>
          <w:tcPr>
            <w:tcW w:w="2200" w:type="dxa"/>
          </w:tcPr>
          <w:p w:rsidR="00A76CCE" w:rsidP="00A76CCE" w:rsidRDefault="00A76CCE" w14:paraId="7DA5852A" w14:textId="2625292F">
            <w:pPr>
              <w:spacing w:before="164"/>
            </w:pPr>
            <w:r>
              <w:t>28 February 2023</w:t>
            </w:r>
          </w:p>
        </w:tc>
      </w:tr>
      <w:tr w:rsidR="00D108EF" w:rsidTr="00A82A87" w14:paraId="6D4481CD" w14:textId="77777777">
        <w:tc>
          <w:tcPr>
            <w:tcW w:w="733" w:type="dxa"/>
          </w:tcPr>
          <w:p w:rsidR="00D108EF" w:rsidP="00A76CCE" w:rsidRDefault="00D108EF" w14:paraId="4C50FC0D" w14:textId="144DA060">
            <w:pPr>
              <w:spacing w:before="164"/>
            </w:pPr>
            <w:r>
              <w:t>xi</w:t>
            </w:r>
          </w:p>
        </w:tc>
        <w:tc>
          <w:tcPr>
            <w:tcW w:w="4370" w:type="dxa"/>
          </w:tcPr>
          <w:p w:rsidR="00D108EF" w:rsidP="00A76CCE" w:rsidRDefault="00477E66" w14:paraId="28227476" w14:textId="77777777">
            <w:pPr>
              <w:spacing w:before="164"/>
            </w:pPr>
            <w:r w:rsidRPr="00477E66">
              <w:t>Alpine Resorts Victoria</w:t>
            </w:r>
          </w:p>
          <w:p w:rsidR="000969E1" w:rsidP="000969E1" w:rsidRDefault="000969E1" w14:paraId="5200543D" w14:textId="5EA3D2FB">
            <w:pPr>
              <w:spacing w:before="164"/>
            </w:pPr>
            <w:r>
              <w:t>Falls Creek Alpine Resort Management Board</w:t>
            </w:r>
          </w:p>
          <w:p w:rsidR="000969E1" w:rsidP="000969E1" w:rsidRDefault="000969E1" w14:paraId="71AC7DBA" w14:textId="4DE1E2F7">
            <w:pPr>
              <w:spacing w:before="164"/>
            </w:pPr>
            <w:r>
              <w:t xml:space="preserve">Mount Buller and Mount Stirling Alpine Resort Management Board </w:t>
            </w:r>
          </w:p>
          <w:p w:rsidR="000969E1" w:rsidP="000969E1" w:rsidRDefault="000969E1" w14:paraId="0160330C" w14:textId="6DCCFA44">
            <w:pPr>
              <w:spacing w:before="164"/>
            </w:pPr>
            <w:r>
              <w:t xml:space="preserve">Mount Hotham Alpine Resort Management Board </w:t>
            </w:r>
          </w:p>
          <w:p w:rsidR="000969E1" w:rsidP="000969E1" w:rsidRDefault="000969E1" w14:paraId="59E26898" w14:textId="506B4CA5">
            <w:pPr>
              <w:spacing w:before="164"/>
            </w:pPr>
            <w:r>
              <w:t>Southern Alpine Resort Management Board</w:t>
            </w:r>
          </w:p>
        </w:tc>
        <w:tc>
          <w:tcPr>
            <w:tcW w:w="2268" w:type="dxa"/>
          </w:tcPr>
          <w:p w:rsidR="00D108EF" w:rsidP="00A76CCE" w:rsidRDefault="000969E1" w14:paraId="5DD3824F" w14:textId="7E9D3976">
            <w:pPr>
              <w:spacing w:before="164"/>
            </w:pPr>
            <w:r>
              <w:t>10 January 202</w:t>
            </w:r>
            <w:r w:rsidR="00614608">
              <w:t>3</w:t>
            </w:r>
          </w:p>
        </w:tc>
        <w:tc>
          <w:tcPr>
            <w:tcW w:w="2200" w:type="dxa"/>
          </w:tcPr>
          <w:p w:rsidR="00D108EF" w:rsidP="00A76CCE" w:rsidRDefault="000969E1" w14:paraId="163AEA8B" w14:textId="4E57EC98">
            <w:pPr>
              <w:spacing w:before="164"/>
            </w:pPr>
            <w:r>
              <w:t>10 July 2023</w:t>
            </w:r>
          </w:p>
        </w:tc>
      </w:tr>
      <w:tr w:rsidR="004F7B13" w:rsidTr="00A82A87" w14:paraId="3C4C0819" w14:textId="77777777">
        <w:tc>
          <w:tcPr>
            <w:tcW w:w="733" w:type="dxa"/>
          </w:tcPr>
          <w:p w:rsidR="004F7B13" w:rsidP="00A76CCE" w:rsidRDefault="00EA0069" w14:paraId="41A4D6B7" w14:textId="6F3D3014">
            <w:pPr>
              <w:spacing w:before="164"/>
            </w:pPr>
            <w:r>
              <w:t>x</w:t>
            </w:r>
            <w:r w:rsidR="009575DE">
              <w:t>ii</w:t>
            </w:r>
          </w:p>
        </w:tc>
        <w:tc>
          <w:tcPr>
            <w:tcW w:w="4370" w:type="dxa"/>
          </w:tcPr>
          <w:p w:rsidRPr="00477E66" w:rsidR="004F7B13" w:rsidP="00A76CCE" w:rsidRDefault="003E1139" w14:paraId="6BCE06DD" w14:textId="686D49FB">
            <w:pPr>
              <w:spacing w:before="164"/>
            </w:pPr>
            <w:r>
              <w:t>Parks Victoria</w:t>
            </w:r>
          </w:p>
        </w:tc>
        <w:tc>
          <w:tcPr>
            <w:tcW w:w="2268" w:type="dxa"/>
          </w:tcPr>
          <w:p w:rsidR="004F7B13" w:rsidP="00A76CCE" w:rsidRDefault="003E1139" w14:paraId="59EA4B10" w14:textId="32C9183D">
            <w:pPr>
              <w:spacing w:before="164"/>
            </w:pPr>
            <w:r>
              <w:t>20 April 2023</w:t>
            </w:r>
          </w:p>
        </w:tc>
        <w:tc>
          <w:tcPr>
            <w:tcW w:w="2200" w:type="dxa"/>
          </w:tcPr>
          <w:p w:rsidR="004F7B13" w:rsidP="00A76CCE" w:rsidRDefault="003E1139" w14:paraId="0C4E8B8B" w14:textId="693B335D">
            <w:pPr>
              <w:spacing w:before="164"/>
            </w:pPr>
            <w:r>
              <w:t>1 July 2023</w:t>
            </w:r>
          </w:p>
        </w:tc>
      </w:tr>
      <w:tr w:rsidR="007A30A9" w:rsidTr="00A82A87" w14:paraId="350A8B89" w14:textId="77777777">
        <w:tc>
          <w:tcPr>
            <w:tcW w:w="733" w:type="dxa"/>
          </w:tcPr>
          <w:p w:rsidR="007A30A9" w:rsidP="007A30A9" w:rsidRDefault="00EA0069" w14:paraId="559CDB0E" w14:textId="20F01B0A">
            <w:pPr>
              <w:spacing w:before="164"/>
            </w:pPr>
            <w:r>
              <w:t>x</w:t>
            </w:r>
            <w:r w:rsidR="007A30A9">
              <w:t>iii</w:t>
            </w:r>
          </w:p>
        </w:tc>
        <w:tc>
          <w:tcPr>
            <w:tcW w:w="4370" w:type="dxa"/>
          </w:tcPr>
          <w:p w:rsidR="007A30A9" w:rsidP="007A30A9" w:rsidRDefault="007A30A9" w14:paraId="7D8C9315" w14:textId="604F6D5F">
            <w:pPr>
              <w:spacing w:before="164"/>
            </w:pPr>
            <w:r w:rsidRPr="00D349D5">
              <w:t>Victoria 2026 Commonwealth Games</w:t>
            </w:r>
          </w:p>
        </w:tc>
        <w:tc>
          <w:tcPr>
            <w:tcW w:w="2268" w:type="dxa"/>
          </w:tcPr>
          <w:p w:rsidR="007A30A9" w:rsidP="007A30A9" w:rsidRDefault="007A30A9" w14:paraId="14F37528" w14:textId="6223B292">
            <w:pPr>
              <w:spacing w:before="164"/>
            </w:pPr>
            <w:r w:rsidRPr="00D349D5">
              <w:t>11 August 2023</w:t>
            </w:r>
          </w:p>
        </w:tc>
        <w:tc>
          <w:tcPr>
            <w:tcW w:w="2200" w:type="dxa"/>
          </w:tcPr>
          <w:p w:rsidR="007A30A9" w:rsidP="007A30A9" w:rsidRDefault="007A30A9" w14:paraId="5AE241FE" w14:textId="0E867BCF">
            <w:pPr>
              <w:spacing w:before="164"/>
            </w:pPr>
            <w:r w:rsidRPr="00D349D5">
              <w:t>11 May 2024</w:t>
            </w:r>
          </w:p>
        </w:tc>
      </w:tr>
      <w:tr w:rsidR="004D45A2" w:rsidTr="00A82A87" w14:paraId="15D4F2C9" w14:textId="77777777">
        <w:tc>
          <w:tcPr>
            <w:tcW w:w="733" w:type="dxa"/>
          </w:tcPr>
          <w:p w:rsidR="004D45A2" w:rsidP="004D45A2" w:rsidRDefault="004D45A2" w14:paraId="255A0AFE" w14:textId="0D33BCE3">
            <w:pPr>
              <w:spacing w:before="164"/>
            </w:pPr>
            <w:r>
              <w:t>xiv</w:t>
            </w:r>
          </w:p>
        </w:tc>
        <w:tc>
          <w:tcPr>
            <w:tcW w:w="4370" w:type="dxa"/>
          </w:tcPr>
          <w:p w:rsidRPr="00D349D5" w:rsidR="004D45A2" w:rsidP="004D45A2" w:rsidRDefault="004D45A2" w14:paraId="0A64872C" w14:textId="5C8F3D31">
            <w:pPr>
              <w:spacing w:before="164"/>
            </w:pPr>
            <w:proofErr w:type="spellStart"/>
            <w:r w:rsidRPr="009D7A2C">
              <w:t>VicForests</w:t>
            </w:r>
            <w:proofErr w:type="spellEnd"/>
          </w:p>
        </w:tc>
        <w:tc>
          <w:tcPr>
            <w:tcW w:w="2268" w:type="dxa"/>
          </w:tcPr>
          <w:p w:rsidRPr="00D349D5" w:rsidR="004D45A2" w:rsidP="004D45A2" w:rsidRDefault="004D45A2" w14:paraId="4DA24EBE" w14:textId="7E2B589D">
            <w:pPr>
              <w:spacing w:before="164"/>
            </w:pPr>
            <w:r w:rsidRPr="009D7A2C">
              <w:t>7 August 2023</w:t>
            </w:r>
          </w:p>
        </w:tc>
        <w:tc>
          <w:tcPr>
            <w:tcW w:w="2200" w:type="dxa"/>
          </w:tcPr>
          <w:p w:rsidRPr="00D349D5" w:rsidR="004D45A2" w:rsidP="004D45A2" w:rsidRDefault="004D45A2" w14:paraId="66B3ABDC" w14:textId="5FF37ABD">
            <w:pPr>
              <w:spacing w:before="164"/>
            </w:pPr>
            <w:r w:rsidRPr="009D7A2C">
              <w:t>7 February 2024</w:t>
            </w:r>
          </w:p>
        </w:tc>
      </w:tr>
      <w:tr w:rsidR="00667C8E" w:rsidTr="00A82A87" w14:paraId="3A162E60" w14:textId="77777777">
        <w:tc>
          <w:tcPr>
            <w:tcW w:w="733" w:type="dxa"/>
          </w:tcPr>
          <w:p w:rsidR="00667C8E" w:rsidP="00667C8E" w:rsidRDefault="00667C8E" w14:paraId="2B6ADC6F" w14:textId="4CBF835E">
            <w:pPr>
              <w:spacing w:before="164"/>
            </w:pPr>
            <w:r>
              <w:t>xv</w:t>
            </w:r>
          </w:p>
        </w:tc>
        <w:tc>
          <w:tcPr>
            <w:tcW w:w="4370" w:type="dxa"/>
          </w:tcPr>
          <w:p w:rsidRPr="009D7A2C" w:rsidR="00667C8E" w:rsidP="00667C8E" w:rsidRDefault="00667C8E" w14:paraId="3D975A14" w14:textId="4A2B6D07">
            <w:pPr>
              <w:spacing w:before="164"/>
            </w:pPr>
            <w:r w:rsidRPr="00BC0057">
              <w:t>Victorian Managed Insurance Authority (VMIA)</w:t>
            </w:r>
          </w:p>
        </w:tc>
        <w:tc>
          <w:tcPr>
            <w:tcW w:w="2268" w:type="dxa"/>
          </w:tcPr>
          <w:p w:rsidRPr="009D7A2C" w:rsidR="00667C8E" w:rsidP="00667C8E" w:rsidRDefault="00667C8E" w14:paraId="72677D3D" w14:textId="7F029016">
            <w:pPr>
              <w:spacing w:before="164"/>
            </w:pPr>
            <w:r w:rsidRPr="00BC0057">
              <w:t>21 August 2023</w:t>
            </w:r>
          </w:p>
        </w:tc>
        <w:tc>
          <w:tcPr>
            <w:tcW w:w="2200" w:type="dxa"/>
          </w:tcPr>
          <w:p w:rsidRPr="009D7A2C" w:rsidR="00667C8E" w:rsidP="00667C8E" w:rsidRDefault="00667C8E" w14:paraId="073C9469" w14:textId="205EA770">
            <w:pPr>
              <w:spacing w:before="164"/>
            </w:pPr>
            <w:r w:rsidRPr="00BC0057">
              <w:t>21 February 2024</w:t>
            </w:r>
          </w:p>
        </w:tc>
      </w:tr>
      <w:tr w:rsidR="00667C8E" w:rsidTr="00A82A87" w14:paraId="7675D8BB" w14:textId="77777777">
        <w:tc>
          <w:tcPr>
            <w:tcW w:w="733" w:type="dxa"/>
          </w:tcPr>
          <w:p w:rsidR="00667C8E" w:rsidP="00667C8E" w:rsidRDefault="00D77BFE" w14:paraId="7AC8168F" w14:textId="728374B9">
            <w:pPr>
              <w:spacing w:before="164"/>
            </w:pPr>
            <w:r>
              <w:t>xvi</w:t>
            </w:r>
          </w:p>
        </w:tc>
        <w:tc>
          <w:tcPr>
            <w:tcW w:w="4370" w:type="dxa"/>
          </w:tcPr>
          <w:p w:rsidRPr="00BC0057" w:rsidR="00667C8E" w:rsidP="00667C8E" w:rsidRDefault="00166512" w14:paraId="69165632" w14:textId="310050E2">
            <w:pPr>
              <w:spacing w:before="164"/>
            </w:pPr>
            <w:r>
              <w:t>Breakthrough Victoria (BV)</w:t>
            </w:r>
          </w:p>
        </w:tc>
        <w:tc>
          <w:tcPr>
            <w:tcW w:w="2268" w:type="dxa"/>
          </w:tcPr>
          <w:p w:rsidRPr="00BC0057" w:rsidR="00667C8E" w:rsidP="00667C8E" w:rsidRDefault="00FA6EBA" w14:paraId="18F5ABE3" w14:textId="358CD308">
            <w:pPr>
              <w:spacing w:before="164"/>
            </w:pPr>
            <w:r>
              <w:t>1 March 2024</w:t>
            </w:r>
          </w:p>
        </w:tc>
        <w:tc>
          <w:tcPr>
            <w:tcW w:w="2200" w:type="dxa"/>
          </w:tcPr>
          <w:p w:rsidRPr="00BC0057" w:rsidR="00667C8E" w:rsidP="00667C8E" w:rsidRDefault="00FA6EBA" w14:paraId="23CFD046" w14:textId="082B50AB">
            <w:pPr>
              <w:spacing w:before="164"/>
            </w:pPr>
            <w:r>
              <w:t>31 December 2024</w:t>
            </w:r>
          </w:p>
        </w:tc>
      </w:tr>
      <w:tr w:rsidR="00BF51EA" w:rsidTr="00A82A87" w14:paraId="498F799F" w14:textId="77777777">
        <w:tc>
          <w:tcPr>
            <w:tcW w:w="733" w:type="dxa"/>
          </w:tcPr>
          <w:p w:rsidR="00BF51EA" w:rsidP="00BF51EA" w:rsidRDefault="00BF51EA" w14:paraId="39757749" w14:textId="32E2EAA9">
            <w:pPr>
              <w:spacing w:before="164"/>
            </w:pPr>
            <w:r>
              <w:t>xvii</w:t>
            </w:r>
          </w:p>
        </w:tc>
        <w:tc>
          <w:tcPr>
            <w:tcW w:w="4370" w:type="dxa"/>
          </w:tcPr>
          <w:p w:rsidR="00BF51EA" w:rsidP="00BF51EA" w:rsidRDefault="00BF51EA" w14:paraId="6A6E00A3" w14:textId="4CBCEE76">
            <w:pPr>
              <w:spacing w:before="164"/>
            </w:pPr>
            <w:r>
              <w:t xml:space="preserve">Triple Zero Victoria </w:t>
            </w:r>
          </w:p>
        </w:tc>
        <w:tc>
          <w:tcPr>
            <w:tcW w:w="2268" w:type="dxa"/>
          </w:tcPr>
          <w:p w:rsidR="00BF51EA" w:rsidP="00BF51EA" w:rsidRDefault="00BF51EA" w14:paraId="191B543E" w14:textId="6259C8B3">
            <w:pPr>
              <w:spacing w:before="164"/>
            </w:pPr>
            <w:r w:rsidRPr="00044340">
              <w:t>1 March 2024</w:t>
            </w:r>
          </w:p>
        </w:tc>
        <w:tc>
          <w:tcPr>
            <w:tcW w:w="2200" w:type="dxa"/>
          </w:tcPr>
          <w:p w:rsidR="00BF51EA" w:rsidP="00BF51EA" w:rsidRDefault="00BF51EA" w14:paraId="487B9EFF" w14:textId="2975582A">
            <w:pPr>
              <w:spacing w:before="164"/>
            </w:pPr>
            <w:r w:rsidRPr="00044340">
              <w:t>31 December 2024</w:t>
            </w:r>
          </w:p>
        </w:tc>
      </w:tr>
    </w:tbl>
    <w:p w:rsidRPr="0039739D" w:rsidR="001A5210" w:rsidP="001A5210" w:rsidRDefault="001A5210" w14:paraId="14708E1F" w14:textId="77777777">
      <w:pPr>
        <w:tabs>
          <w:tab w:val="left" w:pos="1505"/>
        </w:tabs>
        <w:spacing w:before="164"/>
      </w:pPr>
    </w:p>
    <w:p w:rsidRPr="0039739D" w:rsidR="00300BE4" w:rsidRDefault="00300BE4" w14:paraId="5EEBA7E6" w14:textId="77777777">
      <w:pPr>
        <w:pStyle w:val="BodyText"/>
        <w:ind w:firstLine="0"/>
        <w:rPr>
          <w:sz w:val="20"/>
        </w:rPr>
      </w:pPr>
    </w:p>
    <w:p w:rsidRPr="0039739D" w:rsidR="00300BE4" w:rsidRDefault="00300BE4" w14:paraId="5EEBA7E7" w14:textId="77777777">
      <w:pPr>
        <w:pStyle w:val="BodyText"/>
        <w:ind w:firstLine="0"/>
        <w:rPr>
          <w:sz w:val="20"/>
        </w:rPr>
      </w:pPr>
    </w:p>
    <w:p w:rsidRPr="0039739D" w:rsidR="00300BE4" w:rsidRDefault="00300BE4" w14:paraId="5EEBA7E8" w14:textId="77777777">
      <w:pPr>
        <w:pStyle w:val="BodyText"/>
        <w:ind w:firstLine="0"/>
        <w:rPr>
          <w:sz w:val="20"/>
        </w:rPr>
      </w:pPr>
    </w:p>
    <w:p w:rsidRPr="0039739D" w:rsidR="00300BE4" w:rsidRDefault="00300BE4" w14:paraId="5EEBA7E9" w14:textId="77777777">
      <w:pPr>
        <w:pStyle w:val="BodyText"/>
        <w:spacing w:before="8"/>
        <w:ind w:firstLine="0"/>
      </w:pPr>
    </w:p>
    <w:p w:rsidRPr="0039739D" w:rsidR="001A5210" w:rsidP="00B67463" w:rsidRDefault="001A5210" w14:paraId="43D7A7BA" w14:textId="77777777">
      <w:pPr>
        <w:ind w:left="567"/>
        <w:rPr>
          <w:color w:val="217F4B"/>
          <w:sz w:val="28"/>
          <w:szCs w:val="28"/>
        </w:rPr>
      </w:pPr>
      <w:r w:rsidRPr="0039739D">
        <w:rPr>
          <w:color w:val="217F4B"/>
        </w:rPr>
        <w:br w:type="page"/>
      </w:r>
    </w:p>
    <w:p w:rsidR="009E1830" w:rsidRDefault="009E1830" w14:paraId="7EF67548" w14:textId="77777777">
      <w:pPr>
        <w:pStyle w:val="Heading2"/>
        <w:spacing w:before="80"/>
        <w:rPr>
          <w:color w:val="217F4B"/>
        </w:rPr>
      </w:pPr>
    </w:p>
    <w:p w:rsidRPr="0039739D" w:rsidR="00300BE4" w:rsidRDefault="00CB2D8A" w14:paraId="5EEBA7EA" w14:textId="3E69E156">
      <w:pPr>
        <w:pStyle w:val="Heading2"/>
        <w:spacing w:before="80"/>
      </w:pPr>
      <w:bookmarkStart w:name="_Toc122517000" w:id="33"/>
      <w:r w:rsidRPr="0039739D">
        <w:rPr>
          <w:color w:val="217F4B"/>
        </w:rPr>
        <w:t>Endorsement</w:t>
      </w:r>
      <w:bookmarkEnd w:id="33"/>
    </w:p>
    <w:p w:rsidRPr="0039739D" w:rsidR="00300BE4" w:rsidRDefault="00300BE4" w14:paraId="5EEBA7EB" w14:textId="77777777">
      <w:pPr>
        <w:pStyle w:val="BodyText"/>
        <w:spacing w:before="10"/>
        <w:ind w:firstLine="0"/>
        <w:rPr>
          <w:sz w:val="8"/>
        </w:rPr>
      </w:pPr>
    </w:p>
    <w:tbl>
      <w:tblPr>
        <w:tblW w:w="0" w:type="auto"/>
        <w:tblInd w:w="1149"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left w:w="0" w:type="dxa"/>
          <w:right w:w="0" w:type="dxa"/>
        </w:tblCellMar>
        <w:tblLook w:val="01E0" w:firstRow="1" w:lastRow="1" w:firstColumn="1" w:lastColumn="1" w:noHBand="0" w:noVBand="0"/>
      </w:tblPr>
      <w:tblGrid>
        <w:gridCol w:w="5119"/>
        <w:gridCol w:w="2379"/>
        <w:gridCol w:w="2124"/>
      </w:tblGrid>
      <w:tr w:rsidRPr="0039739D" w:rsidR="00292E19" w:rsidTr="48252C26" w14:paraId="5EEBA7ED" w14:textId="67F9A547">
        <w:trPr>
          <w:trHeight w:val="92"/>
        </w:trPr>
        <w:tc>
          <w:tcPr>
            <w:tcW w:w="7498" w:type="dxa"/>
            <w:gridSpan w:val="2"/>
            <w:tcBorders>
              <w:top w:val="nil"/>
              <w:left w:val="nil"/>
              <w:right w:val="nil"/>
            </w:tcBorders>
            <w:shd w:val="clear" w:color="auto" w:fill="217F4B"/>
          </w:tcPr>
          <w:p w:rsidRPr="0039739D" w:rsidR="00292E19" w:rsidP="00292E19" w:rsidRDefault="00292E19" w14:paraId="5EEBA7EC" w14:textId="49A4B59F">
            <w:pPr>
              <w:pStyle w:val="TableParagraph"/>
              <w:spacing w:before="15" w:line="276" w:lineRule="exact"/>
              <w:ind w:left="5798" w:hanging="5683"/>
              <w:rPr>
                <w:b/>
              </w:rPr>
            </w:pPr>
            <w:r w:rsidRPr="0039739D">
              <w:rPr>
                <w:b/>
                <w:color w:val="FFFFFF"/>
              </w:rPr>
              <w:t>Governance</w:t>
            </w:r>
            <w:r w:rsidRPr="0039739D">
              <w:rPr>
                <w:b/>
                <w:color w:val="FFFFFF"/>
                <w:spacing w:val="-3"/>
              </w:rPr>
              <w:t xml:space="preserve"> </w:t>
            </w:r>
            <w:r w:rsidRPr="0039739D">
              <w:rPr>
                <w:b/>
                <w:color w:val="FFFFFF"/>
              </w:rPr>
              <w:t>bodies</w:t>
            </w:r>
            <w:r>
              <w:rPr>
                <w:b/>
                <w:color w:val="FFFFFF"/>
              </w:rPr>
              <w:t xml:space="preserve"> </w:t>
            </w:r>
            <w:r>
              <w:rPr>
                <w:b/>
                <w:color w:val="FFFFFF"/>
              </w:rPr>
              <w:tab/>
            </w:r>
            <w:r w:rsidRPr="0039739D">
              <w:rPr>
                <w:b/>
                <w:color w:val="FFFFFF"/>
              </w:rPr>
              <w:t>Date</w:t>
            </w:r>
          </w:p>
        </w:tc>
        <w:tc>
          <w:tcPr>
            <w:tcW w:w="2124" w:type="dxa"/>
            <w:tcBorders>
              <w:top w:val="nil"/>
              <w:left w:val="nil"/>
              <w:right w:val="nil"/>
            </w:tcBorders>
            <w:shd w:val="clear" w:color="auto" w:fill="217F4B"/>
          </w:tcPr>
          <w:p w:rsidRPr="0039739D" w:rsidR="00292E19" w:rsidP="00292E19" w:rsidRDefault="00292E19" w14:paraId="6F468003" w14:textId="03386B7F">
            <w:pPr>
              <w:pStyle w:val="TableParagraph"/>
              <w:spacing w:before="15" w:line="276" w:lineRule="exact"/>
              <w:ind w:left="5798" w:hanging="5683"/>
              <w:rPr>
                <w:b/>
                <w:color w:val="FFFFFF"/>
              </w:rPr>
            </w:pPr>
            <w:r>
              <w:rPr>
                <w:b/>
                <w:color w:val="FFFFFF"/>
              </w:rPr>
              <w:t xml:space="preserve">     Version</w:t>
            </w:r>
          </w:p>
        </w:tc>
      </w:tr>
      <w:tr w:rsidRPr="0039739D" w:rsidR="00ED7D39" w:rsidTr="48252C26" w14:paraId="2BA3E749" w14:textId="77777777">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ED7D39" w:rsidP="00ED7D39" w:rsidRDefault="00ED7D39" w14:paraId="17F57DD1" w14:textId="13A073FF">
            <w:pPr>
              <w:pStyle w:val="TableParagraph"/>
              <w:spacing w:line="277" w:lineRule="exact"/>
            </w:pPr>
            <w:r w:rsidRPr="00244E9B">
              <w:t>Human Resources Directors Committee</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ED7D39" w:rsidP="00ED7D39" w:rsidRDefault="00A23067" w14:paraId="3FE87BBD" w14:textId="177F3603">
            <w:pPr>
              <w:pStyle w:val="TableParagraph"/>
              <w:spacing w:before="0"/>
              <w:ind w:left="126"/>
            </w:pPr>
            <w:r>
              <w:t>17 May 2024</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D7D39" w:rsidP="00ED7D39" w:rsidRDefault="00ED7D39" w14:paraId="54DFE012" w14:textId="363BD690">
            <w:pPr>
              <w:pStyle w:val="TableParagraph"/>
              <w:spacing w:before="0"/>
              <w:ind w:left="126"/>
            </w:pPr>
            <w:r w:rsidRPr="00244E9B">
              <w:t>Version 11.0</w:t>
            </w:r>
          </w:p>
        </w:tc>
      </w:tr>
      <w:tr w:rsidRPr="0039739D" w:rsidR="0041129F" w:rsidTr="48252C26" w14:paraId="003ABB33" w14:textId="77777777">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1129F" w:rsidP="0041129F" w:rsidRDefault="0041129F" w14:paraId="35F4C26E" w14:textId="3641810F">
            <w:pPr>
              <w:pStyle w:val="TableParagraph"/>
              <w:spacing w:line="277" w:lineRule="exact"/>
            </w:pPr>
            <w:r w:rsidRPr="006F537A">
              <w:t>JSE Steering Committee</w:t>
            </w:r>
            <w:r>
              <w:t xml:space="preserve"> (including CPSU)</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1129F" w:rsidP="0041129F" w:rsidRDefault="00155D7B" w14:paraId="09D3D5B9" w14:textId="71CF5F8E">
            <w:pPr>
              <w:pStyle w:val="TableParagraph"/>
              <w:spacing w:before="0"/>
              <w:ind w:left="126"/>
            </w:pPr>
            <w:r>
              <w:t>2 May 2024</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1129F" w:rsidP="0041129F" w:rsidRDefault="0041129F" w14:paraId="1EBAD2EE" w14:textId="5FF87D72">
            <w:pPr>
              <w:pStyle w:val="TableParagraph"/>
              <w:spacing w:before="0"/>
              <w:ind w:left="126"/>
            </w:pPr>
            <w:r>
              <w:t>Version 11.0</w:t>
            </w:r>
          </w:p>
        </w:tc>
      </w:tr>
      <w:tr w:rsidR="00CE6983" w:rsidTr="48252C26" w14:paraId="5B67E7C6" w14:textId="77777777">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CE6983" w:rsidP="00CE6983" w:rsidRDefault="00CE6983" w14:paraId="39A8E4CF" w14:textId="2707E1E9">
            <w:pPr>
              <w:pStyle w:val="TableParagraph"/>
              <w:spacing w:line="277" w:lineRule="exact"/>
            </w:pPr>
            <w:r w:rsidRPr="003149B1">
              <w:t xml:space="preserve">Human Resources Directors Committee </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CE6983" w:rsidP="00CE6983" w:rsidRDefault="00CE6983" w14:paraId="7D4601A7" w14:textId="74725F9D">
            <w:pPr>
              <w:pStyle w:val="TableParagraph"/>
              <w:rPr>
                <w:highlight w:val="yellow"/>
              </w:rPr>
            </w:pPr>
            <w:r w:rsidRPr="003149B1">
              <w:t>7 July 2023</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E6983" w:rsidP="00CE6983" w:rsidRDefault="00CE6983" w14:paraId="1959F687" w14:textId="62CAFE2C">
            <w:pPr>
              <w:pStyle w:val="TableParagraph"/>
            </w:pPr>
            <w:r w:rsidRPr="003149B1">
              <w:t>Version 10.0a</w:t>
            </w:r>
          </w:p>
        </w:tc>
      </w:tr>
      <w:tr w:rsidRPr="0039739D" w:rsidR="0041129F" w:rsidTr="48252C26" w14:paraId="6C2AA39F" w14:textId="7EA9F084">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33A9235B" w14:textId="06CB633B">
            <w:pPr>
              <w:pStyle w:val="TableParagraph"/>
              <w:spacing w:line="277" w:lineRule="exact"/>
            </w:pPr>
            <w:r>
              <w:t xml:space="preserve">Human Resources Directors Committee </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1129F" w:rsidP="0041129F" w:rsidRDefault="0041129F" w14:paraId="7ABE28A8" w14:textId="630B07A8">
            <w:pPr>
              <w:pStyle w:val="TableParagraph"/>
              <w:spacing w:before="0"/>
              <w:ind w:left="126"/>
            </w:pPr>
            <w:r>
              <w:t>1 February 2023</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1129F" w:rsidP="0041129F" w:rsidRDefault="0041129F" w14:paraId="587CFADA" w14:textId="67860D49">
            <w:pPr>
              <w:pStyle w:val="TableParagraph"/>
              <w:spacing w:before="0"/>
              <w:ind w:left="126"/>
            </w:pPr>
            <w:r>
              <w:t>Version 10.0</w:t>
            </w:r>
          </w:p>
        </w:tc>
      </w:tr>
      <w:tr w:rsidRPr="0039739D" w:rsidR="0041129F" w:rsidTr="48252C26" w14:paraId="45435598" w14:textId="77777777">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1129F" w:rsidP="0041129F" w:rsidRDefault="0041129F" w14:paraId="7DCF659C" w14:textId="470AC66D">
            <w:pPr>
              <w:pStyle w:val="TableParagraph"/>
              <w:spacing w:line="277" w:lineRule="exact"/>
            </w:pPr>
            <w:r>
              <w:t>Human Resources Directors Committee</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1129F" w:rsidP="0041129F" w:rsidRDefault="0041129F" w14:paraId="187A1A1E" w14:textId="036B303F">
            <w:pPr>
              <w:pStyle w:val="TableParagraph"/>
              <w:spacing w:before="0"/>
              <w:ind w:left="126"/>
            </w:pPr>
            <w:r>
              <w:t>16 May 2022</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1129F" w:rsidP="0041129F" w:rsidRDefault="0041129F" w14:paraId="1F48C1E6" w14:textId="4226A2E6">
            <w:pPr>
              <w:pStyle w:val="TableParagraph"/>
              <w:spacing w:before="0"/>
              <w:ind w:left="126"/>
            </w:pPr>
            <w:r>
              <w:t>Version 9.0b</w:t>
            </w:r>
          </w:p>
        </w:tc>
      </w:tr>
      <w:tr w:rsidRPr="0039739D" w:rsidR="0041129F" w:rsidTr="48252C26" w14:paraId="7BD84A38" w14:textId="4DB0639F">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3D4DD332" w14:textId="5C3E1F02">
            <w:pPr>
              <w:pStyle w:val="TableParagraph"/>
              <w:spacing w:line="277" w:lineRule="exact"/>
            </w:pPr>
            <w:r w:rsidRPr="006F537A">
              <w:t>JSE Steering Committee</w:t>
            </w:r>
            <w:r>
              <w:t xml:space="preserve"> (including CPSU)</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1129F" w:rsidP="0041129F" w:rsidRDefault="0041129F" w14:paraId="6DAC08BE" w14:textId="4500508D">
            <w:pPr>
              <w:pStyle w:val="TableParagraph"/>
              <w:spacing w:before="0"/>
              <w:ind w:left="126"/>
            </w:pPr>
            <w:r>
              <w:t>28 April 2022</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1129F" w:rsidP="0041129F" w:rsidRDefault="0041129F" w14:paraId="02EAB038" w14:textId="4F97B1A8">
            <w:pPr>
              <w:pStyle w:val="TableParagraph"/>
              <w:spacing w:before="0"/>
              <w:ind w:left="126"/>
            </w:pPr>
            <w:r>
              <w:t>Version 9.0b</w:t>
            </w:r>
          </w:p>
        </w:tc>
      </w:tr>
      <w:tr w:rsidRPr="0039739D" w:rsidR="0041129F" w:rsidTr="48252C26" w14:paraId="5EEBA7F3" w14:textId="00770593">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5EEBA7F1" w14:textId="7A1C991B">
            <w:pPr>
              <w:pStyle w:val="TableParagraph"/>
              <w:spacing w:line="277" w:lineRule="exact"/>
            </w:pPr>
            <w:r w:rsidRPr="006F537A">
              <w:t>JSE Steering Committee</w:t>
            </w:r>
            <w:r>
              <w:t xml:space="preserve"> (including CPSU)</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5EEBA7F2" w14:textId="362AAD13">
            <w:pPr>
              <w:pStyle w:val="TableParagraph"/>
              <w:spacing w:before="0"/>
              <w:ind w:left="126"/>
            </w:pPr>
            <w:r>
              <w:t>31 March 2022</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1129F" w:rsidP="0041129F" w:rsidRDefault="0041129F" w14:paraId="711D98D7" w14:textId="0E495C02">
            <w:pPr>
              <w:pStyle w:val="TableParagraph"/>
              <w:spacing w:before="0"/>
              <w:ind w:left="126"/>
            </w:pPr>
            <w:r>
              <w:t>Version 9.0</w:t>
            </w:r>
          </w:p>
        </w:tc>
      </w:tr>
      <w:tr w:rsidRPr="0039739D" w:rsidR="0041129F" w:rsidTr="48252C26" w14:paraId="143109A0" w14:textId="177D6909">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1A46D7AE" w14:textId="60F585DD">
            <w:pPr>
              <w:pStyle w:val="TableParagraph"/>
              <w:spacing w:line="277" w:lineRule="exact"/>
            </w:pPr>
            <w:r>
              <w:t xml:space="preserve">Human Resources Directors Committee </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2ACCF71E" w14:textId="461D54F6">
            <w:pPr>
              <w:pStyle w:val="TableParagraph"/>
              <w:spacing w:before="0"/>
              <w:ind w:left="126"/>
            </w:pPr>
            <w:r>
              <w:t>30 March 2022</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1129F" w:rsidP="0041129F" w:rsidRDefault="0041129F" w14:paraId="41334B85" w14:textId="1D480615">
            <w:pPr>
              <w:pStyle w:val="TableParagraph"/>
              <w:spacing w:before="0"/>
              <w:ind w:left="126"/>
            </w:pPr>
            <w:r>
              <w:t>Version 9.0</w:t>
            </w:r>
          </w:p>
        </w:tc>
      </w:tr>
      <w:tr w:rsidRPr="006D77BB" w:rsidR="0041129F" w:rsidTr="48252C26" w14:paraId="6E683911" w14:textId="67E51191">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41129F" w:rsidP="0041129F" w:rsidRDefault="0041129F" w14:paraId="6D57B182" w14:textId="2FBEEC32">
            <w:pPr>
              <w:pStyle w:val="TableParagraph"/>
              <w:spacing w:line="277" w:lineRule="exact"/>
            </w:pPr>
            <w:r w:rsidRPr="006F537A">
              <w:t>JSE Interdepartmental Committee</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3701C2E6" w:rsidR="0041129F" w:rsidP="0041129F" w:rsidRDefault="0041129F" w14:paraId="5841C67B" w14:textId="4A7804F1">
            <w:pPr>
              <w:pStyle w:val="TableParagraph"/>
              <w:ind w:left="126"/>
            </w:pPr>
            <w:r w:rsidRPr="006F537A">
              <w:t>7 December 2021</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F537A" w:rsidR="0041129F" w:rsidP="0041129F" w:rsidRDefault="0041129F" w14:paraId="59DFE93A" w14:textId="44E3C18E">
            <w:pPr>
              <w:pStyle w:val="TableParagraph"/>
              <w:ind w:left="126"/>
            </w:pPr>
            <w:r>
              <w:t>Version 8.0</w:t>
            </w:r>
          </w:p>
        </w:tc>
      </w:tr>
      <w:tr w:rsidRPr="0039739D" w:rsidR="0041129F" w:rsidTr="48252C26" w14:paraId="54978EF6" w14:textId="7E033214">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461A5B47" w14:textId="79627607">
            <w:pPr>
              <w:pStyle w:val="TableParagraph"/>
              <w:spacing w:line="277" w:lineRule="exact"/>
            </w:pPr>
            <w:r w:rsidRPr="006F537A">
              <w:t>JSE Steering Committee</w:t>
            </w:r>
            <w:r>
              <w:t xml:space="preserve"> (including CPSU)</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7C2C8FDA" w14:textId="5156DAA3">
            <w:pPr>
              <w:pStyle w:val="TableParagraph"/>
              <w:spacing w:before="0"/>
              <w:ind w:left="126"/>
            </w:pPr>
            <w:r w:rsidRPr="006F537A">
              <w:t>2 December 2021</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F537A" w:rsidR="0041129F" w:rsidP="0041129F" w:rsidRDefault="0041129F" w14:paraId="5BA52B91" w14:textId="4F96EE84">
            <w:pPr>
              <w:pStyle w:val="TableParagraph"/>
              <w:spacing w:before="0"/>
              <w:ind w:left="126"/>
            </w:pPr>
            <w:r w:rsidRPr="003B62D9">
              <w:t>Version 8.0</w:t>
            </w:r>
          </w:p>
        </w:tc>
      </w:tr>
      <w:tr w:rsidRPr="0039739D" w:rsidR="0041129F" w:rsidTr="48252C26" w14:paraId="77E3884F" w14:textId="6A852EB8">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1CA2E5CA" w14:textId="0C0E6EDE">
            <w:pPr>
              <w:pStyle w:val="TableParagraph"/>
              <w:spacing w:line="277" w:lineRule="exact"/>
            </w:pPr>
            <w:r>
              <w:t>Liaison/consultation with CPSU</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3056400A" w14:textId="20BFF159">
            <w:pPr>
              <w:pStyle w:val="TableParagraph"/>
              <w:spacing w:before="0"/>
              <w:ind w:left="126"/>
            </w:pPr>
            <w:r w:rsidRPr="00F4078D">
              <w:t>17 -</w:t>
            </w:r>
            <w:r>
              <w:t xml:space="preserve"> </w:t>
            </w:r>
            <w:r w:rsidRPr="00F4078D">
              <w:t>30 Nov</w:t>
            </w:r>
            <w:r>
              <w:t xml:space="preserve"> 2021</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4078D" w:rsidR="0041129F" w:rsidP="0041129F" w:rsidRDefault="0041129F" w14:paraId="125E28E8" w14:textId="6C4915B1">
            <w:pPr>
              <w:pStyle w:val="TableParagraph"/>
              <w:spacing w:before="0"/>
              <w:ind w:left="126"/>
            </w:pPr>
            <w:r w:rsidRPr="003B62D9">
              <w:t>Version 8.0</w:t>
            </w:r>
          </w:p>
        </w:tc>
      </w:tr>
      <w:tr w:rsidRPr="0039739D" w:rsidR="0041129F" w:rsidTr="48252C26" w14:paraId="371CC68B" w14:textId="4153FA83">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34FFE47A" w14:textId="7E9AADBB">
            <w:pPr>
              <w:pStyle w:val="TableParagraph"/>
              <w:spacing w:line="277" w:lineRule="exact"/>
            </w:pPr>
            <w:r>
              <w:t xml:space="preserve">Human Resources Directors Committee </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57ECEBBE" w14:textId="0F07ED4D">
            <w:pPr>
              <w:pStyle w:val="TableParagraph"/>
              <w:spacing w:before="0"/>
              <w:ind w:left="126"/>
            </w:pPr>
            <w:r>
              <w:t>27 October 2021</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41129F" w:rsidP="0041129F" w:rsidRDefault="0041129F" w14:paraId="4DBE5033" w14:textId="4AD21C0A">
            <w:pPr>
              <w:pStyle w:val="TableParagraph"/>
              <w:spacing w:before="0"/>
              <w:ind w:left="126"/>
            </w:pPr>
            <w:r w:rsidRPr="003B62D9">
              <w:t>Version 8.0</w:t>
            </w:r>
          </w:p>
        </w:tc>
      </w:tr>
      <w:tr w:rsidRPr="0039739D" w:rsidR="0041129F" w:rsidTr="48252C26" w14:paraId="05010CC9" w14:textId="1917A1DA">
        <w:trPr>
          <w:trHeight w:val="90"/>
        </w:trPr>
        <w:tc>
          <w:tcPr>
            <w:tcW w:w="51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581ED4E1" w14:textId="3E275AF2">
            <w:pPr>
              <w:pStyle w:val="TableParagraph"/>
              <w:spacing w:line="277" w:lineRule="exact"/>
            </w:pPr>
            <w:r w:rsidRPr="006F537A">
              <w:t>Public Sector Administration Committee</w:t>
            </w:r>
          </w:p>
        </w:tc>
        <w:tc>
          <w:tcPr>
            <w:tcW w:w="2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F537A" w:rsidR="0041129F" w:rsidP="0041129F" w:rsidRDefault="0041129F" w14:paraId="31D9A0F8" w14:textId="06D8C3B2">
            <w:pPr>
              <w:pStyle w:val="TableParagraph"/>
              <w:spacing w:before="0"/>
              <w:ind w:left="126"/>
            </w:pPr>
            <w:r w:rsidRPr="006F537A">
              <w:t>21 October 2021</w:t>
            </w:r>
          </w:p>
        </w:tc>
        <w:tc>
          <w:tcPr>
            <w:tcW w:w="21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F537A" w:rsidR="0041129F" w:rsidP="0041129F" w:rsidRDefault="0041129F" w14:paraId="3AA8DC32" w14:textId="798A8578">
            <w:pPr>
              <w:pStyle w:val="TableParagraph"/>
              <w:spacing w:before="0"/>
              <w:ind w:left="126"/>
            </w:pPr>
            <w:r w:rsidRPr="003B62D9">
              <w:t>Version 8.0</w:t>
            </w:r>
          </w:p>
        </w:tc>
      </w:tr>
    </w:tbl>
    <w:p w:rsidRPr="0039739D" w:rsidR="00300BE4" w:rsidRDefault="00300BE4" w14:paraId="5EEBA7F7" w14:textId="77777777">
      <w:pPr>
        <w:pStyle w:val="BodyText"/>
        <w:ind w:firstLine="0"/>
        <w:rPr>
          <w:sz w:val="40"/>
        </w:rPr>
      </w:pPr>
    </w:p>
    <w:p w:rsidRPr="0039739D" w:rsidR="00300BE4" w:rsidP="00B76553" w:rsidRDefault="00CB2D8A" w14:paraId="5EEBA7F8" w14:textId="77777777">
      <w:pPr>
        <w:pStyle w:val="Heading2"/>
        <w:spacing w:before="80"/>
      </w:pPr>
      <w:bookmarkStart w:name="_Toc122517001" w:id="34"/>
      <w:r w:rsidRPr="00870B14">
        <w:rPr>
          <w:color w:val="217F4B"/>
        </w:rPr>
        <w:t>Document Version</w:t>
      </w:r>
      <w:bookmarkEnd w:id="34"/>
    </w:p>
    <w:p w:rsidRPr="0039739D" w:rsidR="00300BE4" w:rsidRDefault="00300BE4" w14:paraId="5EEBA7F9" w14:textId="77777777">
      <w:pPr>
        <w:pStyle w:val="BodyText"/>
        <w:spacing w:before="10"/>
        <w:ind w:firstLine="0"/>
        <w:rPr>
          <w:sz w:val="8"/>
        </w:rPr>
      </w:pPr>
    </w:p>
    <w:tbl>
      <w:tblPr>
        <w:tblW w:w="0" w:type="auto"/>
        <w:tblInd w:w="1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836"/>
        <w:gridCol w:w="1843"/>
        <w:gridCol w:w="4961"/>
        <w:gridCol w:w="1984"/>
      </w:tblGrid>
      <w:tr w:rsidRPr="0039739D" w:rsidR="00300BE4" w:rsidTr="3CA940F4" w14:paraId="5EEBA7FB" w14:textId="77777777">
        <w:trPr>
          <w:trHeight w:val="305"/>
          <w:tblHeader/>
        </w:trPr>
        <w:tc>
          <w:tcPr>
            <w:tcW w:w="9624" w:type="dxa"/>
            <w:gridSpan w:val="4"/>
            <w:tcBorders>
              <w:top w:val="nil"/>
              <w:left w:val="nil"/>
              <w:right w:val="nil"/>
            </w:tcBorders>
            <w:shd w:val="clear" w:color="auto" w:fill="217F4B"/>
          </w:tcPr>
          <w:p w:rsidRPr="0039739D" w:rsidR="00300BE4" w:rsidP="3CA940F4" w:rsidRDefault="00CB2D8A" w14:paraId="5EEBA7FA" w14:textId="3DEAB1BE">
            <w:pPr>
              <w:pStyle w:val="TableParagraph"/>
              <w:tabs>
                <w:tab w:val="left" w:pos="1382"/>
                <w:tab w:val="left" w:pos="3086"/>
                <w:tab w:val="left" w:pos="7478"/>
              </w:tabs>
              <w:spacing w:line="276" w:lineRule="exact"/>
              <w:rPr>
                <w:b/>
                <w:bCs/>
              </w:rPr>
            </w:pPr>
            <w:bookmarkStart w:name="_Int_SnUg3Nxp" w:id="35"/>
            <w:proofErr w:type="gramStart"/>
            <w:r w:rsidRPr="3CA940F4">
              <w:rPr>
                <w:b/>
                <w:bCs/>
                <w:color w:val="FFFFFF"/>
              </w:rPr>
              <w:t>Version</w:t>
            </w:r>
            <w:r w:rsidRPr="3CA940F4" w:rsidR="721B221B">
              <w:rPr>
                <w:b/>
                <w:bCs/>
                <w:color w:val="FFFFFF"/>
              </w:rPr>
              <w:t xml:space="preserve">  </w:t>
            </w:r>
            <w:r w:rsidRPr="3CA940F4">
              <w:rPr>
                <w:b/>
                <w:bCs/>
                <w:color w:val="FFFFFF"/>
              </w:rPr>
              <w:t>Publish</w:t>
            </w:r>
            <w:bookmarkEnd w:id="35"/>
            <w:proofErr w:type="gramEnd"/>
            <w:r w:rsidRPr="3CA940F4">
              <w:rPr>
                <w:b/>
                <w:bCs/>
                <w:color w:val="FFFFFF"/>
                <w:spacing w:val="-3"/>
              </w:rPr>
              <w:t xml:space="preserve"> </w:t>
            </w:r>
            <w:r w:rsidRPr="3CA940F4">
              <w:rPr>
                <w:b/>
                <w:bCs/>
                <w:color w:val="FFFFFF"/>
              </w:rPr>
              <w:t>date</w:t>
            </w:r>
            <w:r w:rsidRPr="0039739D">
              <w:rPr>
                <w:b/>
                <w:color w:val="FFFFFF"/>
              </w:rPr>
              <w:tab/>
            </w:r>
            <w:r w:rsidRPr="3CA940F4">
              <w:rPr>
                <w:b/>
                <w:bCs/>
                <w:color w:val="FFFFFF"/>
              </w:rPr>
              <w:t>Detail</w:t>
            </w:r>
            <w:r w:rsidRPr="0039739D">
              <w:rPr>
                <w:b/>
                <w:color w:val="FFFFFF"/>
              </w:rPr>
              <w:tab/>
            </w:r>
            <w:r w:rsidRPr="3CA940F4" w:rsidR="721B221B">
              <w:rPr>
                <w:b/>
                <w:bCs/>
                <w:color w:val="FFFFFF"/>
              </w:rPr>
              <w:t xml:space="preserve">    </w:t>
            </w:r>
            <w:r w:rsidRPr="3CA940F4">
              <w:rPr>
                <w:b/>
                <w:bCs/>
                <w:color w:val="FFFFFF"/>
              </w:rPr>
              <w:t>Author</w:t>
            </w:r>
          </w:p>
        </w:tc>
      </w:tr>
      <w:tr w:rsidRPr="0039739D" w:rsidR="00300BE4" w:rsidTr="3CA940F4" w14:paraId="5EEBA801" w14:textId="77777777">
        <w:trPr>
          <w:trHeight w:val="611"/>
        </w:trPr>
        <w:tc>
          <w:tcPr>
            <w:tcW w:w="836" w:type="dxa"/>
            <w:tcBorders>
              <w:left w:val="single" w:color="000000" w:themeColor="text1" w:sz="4" w:space="0"/>
              <w:right w:val="single" w:color="000000" w:themeColor="text1" w:sz="4" w:space="0"/>
            </w:tcBorders>
          </w:tcPr>
          <w:p w:rsidRPr="0039739D" w:rsidR="00300BE4" w:rsidRDefault="00CB2D8A" w14:paraId="5EEBA7FC" w14:textId="77777777">
            <w:pPr>
              <w:pStyle w:val="TableParagraph"/>
              <w:ind w:left="105"/>
            </w:pPr>
            <w:r w:rsidRPr="0039739D">
              <w:t>1.0</w:t>
            </w:r>
          </w:p>
        </w:tc>
        <w:tc>
          <w:tcPr>
            <w:tcW w:w="1843" w:type="dxa"/>
            <w:tcBorders>
              <w:left w:val="single" w:color="000000" w:themeColor="text1" w:sz="4" w:space="0"/>
              <w:right w:val="single" w:color="000000" w:themeColor="text1" w:sz="4" w:space="0"/>
            </w:tcBorders>
            <w:shd w:val="clear" w:color="auto" w:fill="auto"/>
          </w:tcPr>
          <w:p w:rsidRPr="00DB7D9D" w:rsidR="00300BE4" w:rsidP="00DB7D9D" w:rsidRDefault="006F537A" w14:paraId="5EEBA7FD" w14:textId="682579DE">
            <w:pPr>
              <w:pStyle w:val="TableParagraph"/>
              <w:spacing w:before="0"/>
              <w:ind w:left="0" w:firstLine="139"/>
            </w:pPr>
            <w:r>
              <w:t>1 October 2019</w:t>
            </w:r>
          </w:p>
        </w:tc>
        <w:tc>
          <w:tcPr>
            <w:tcW w:w="4961" w:type="dxa"/>
            <w:tcBorders>
              <w:left w:val="single" w:color="000000" w:themeColor="text1" w:sz="4" w:space="0"/>
              <w:right w:val="single" w:color="000000" w:themeColor="text1" w:sz="4" w:space="0"/>
            </w:tcBorders>
          </w:tcPr>
          <w:p w:rsidRPr="0039739D" w:rsidR="00300BE4" w:rsidRDefault="00CB2D8A" w14:paraId="5EEBA7FE" w14:textId="4EA5219E">
            <w:pPr>
              <w:pStyle w:val="TableParagraph"/>
            </w:pPr>
            <w:bookmarkStart w:name="_Int_r73DI5gq" w:id="36"/>
            <w:r>
              <w:t>Final version</w:t>
            </w:r>
            <w:bookmarkEnd w:id="36"/>
            <w:r>
              <w:t xml:space="preserve"> published</w:t>
            </w:r>
            <w:r w:rsidR="09ABE382">
              <w:t>.</w:t>
            </w:r>
          </w:p>
        </w:tc>
        <w:tc>
          <w:tcPr>
            <w:tcW w:w="1984" w:type="dxa"/>
            <w:tcBorders>
              <w:left w:val="single" w:color="000000" w:themeColor="text1" w:sz="4" w:space="0"/>
              <w:right w:val="single" w:color="000000" w:themeColor="text1" w:sz="4" w:space="0"/>
            </w:tcBorders>
          </w:tcPr>
          <w:p w:rsidRPr="0039739D" w:rsidR="00300BE4" w:rsidRDefault="00CB2D8A" w14:paraId="5EEBA7FF" w14:textId="77777777">
            <w:pPr>
              <w:pStyle w:val="TableParagraph"/>
            </w:pPr>
            <w:r w:rsidRPr="0039739D">
              <w:t>Policy, Jobs and</w:t>
            </w:r>
          </w:p>
          <w:p w:rsidRPr="0039739D" w:rsidR="00300BE4" w:rsidRDefault="00CB2D8A" w14:paraId="5EEBA800" w14:textId="77777777">
            <w:pPr>
              <w:pStyle w:val="TableParagraph"/>
              <w:spacing w:line="276" w:lineRule="exact"/>
            </w:pPr>
            <w:r w:rsidRPr="0039739D">
              <w:t>Skills Exchange (JSE)</w:t>
            </w:r>
          </w:p>
        </w:tc>
      </w:tr>
      <w:tr w:rsidRPr="0039739D" w:rsidR="00300BE4" w:rsidTr="3CA940F4" w14:paraId="5EEBA808" w14:textId="77777777">
        <w:trPr>
          <w:trHeight w:val="606"/>
        </w:trPr>
        <w:tc>
          <w:tcPr>
            <w:tcW w:w="836" w:type="dxa"/>
            <w:tcBorders>
              <w:left w:val="single" w:color="000000" w:themeColor="text1" w:sz="4" w:space="0"/>
              <w:right w:val="single" w:color="000000" w:themeColor="text1" w:sz="4" w:space="0"/>
            </w:tcBorders>
          </w:tcPr>
          <w:p w:rsidRPr="0039739D" w:rsidR="00300BE4" w:rsidRDefault="00CB2D8A" w14:paraId="5EEBA802" w14:textId="77777777">
            <w:pPr>
              <w:pStyle w:val="TableParagraph"/>
              <w:spacing w:before="0"/>
              <w:ind w:left="105"/>
            </w:pPr>
            <w:r w:rsidRPr="0039739D">
              <w:t>2.0</w:t>
            </w:r>
          </w:p>
        </w:tc>
        <w:tc>
          <w:tcPr>
            <w:tcW w:w="1843" w:type="dxa"/>
            <w:tcBorders>
              <w:left w:val="single" w:color="000000" w:themeColor="text1" w:sz="4" w:space="0"/>
              <w:right w:val="single" w:color="000000" w:themeColor="text1" w:sz="4" w:space="0"/>
            </w:tcBorders>
          </w:tcPr>
          <w:p w:rsidRPr="0039739D" w:rsidR="00300BE4" w:rsidRDefault="00CB2D8A" w14:paraId="5EEBA803" w14:textId="77777777">
            <w:pPr>
              <w:pStyle w:val="TableParagraph"/>
              <w:spacing w:before="0"/>
            </w:pPr>
            <w:r w:rsidRPr="0039739D">
              <w:t>17 April 2020</w:t>
            </w:r>
          </w:p>
        </w:tc>
        <w:tc>
          <w:tcPr>
            <w:tcW w:w="4961" w:type="dxa"/>
            <w:tcBorders>
              <w:left w:val="single" w:color="000000" w:themeColor="text1" w:sz="4" w:space="0"/>
              <w:right w:val="single" w:color="000000" w:themeColor="text1" w:sz="4" w:space="0"/>
            </w:tcBorders>
          </w:tcPr>
          <w:p w:rsidRPr="0039739D" w:rsidR="00300BE4" w:rsidRDefault="00CB2D8A" w14:paraId="5EEBA804" w14:textId="77777777">
            <w:pPr>
              <w:pStyle w:val="TableParagraph"/>
              <w:spacing w:before="0"/>
            </w:pPr>
            <w:r w:rsidRPr="0039739D">
              <w:t>Extended access on diversity and</w:t>
            </w:r>
          </w:p>
          <w:p w:rsidRPr="0039739D" w:rsidR="00300BE4" w:rsidRDefault="00CB2D8A" w14:paraId="5EEBA805" w14:textId="46087CB6">
            <w:pPr>
              <w:pStyle w:val="TableParagraph"/>
              <w:spacing w:line="276" w:lineRule="exact"/>
            </w:pPr>
            <w:r w:rsidRPr="0039739D">
              <w:t>inclusion grounds</w:t>
            </w:r>
            <w:r w:rsidR="00720D71">
              <w:t>.</w:t>
            </w:r>
          </w:p>
        </w:tc>
        <w:tc>
          <w:tcPr>
            <w:tcW w:w="1984" w:type="dxa"/>
            <w:tcBorders>
              <w:left w:val="single" w:color="000000" w:themeColor="text1" w:sz="4" w:space="0"/>
              <w:right w:val="single" w:color="000000" w:themeColor="text1" w:sz="4" w:space="0"/>
            </w:tcBorders>
          </w:tcPr>
          <w:p w:rsidRPr="0039739D" w:rsidR="00300BE4" w:rsidRDefault="00DB7D9D" w14:paraId="5EEBA807" w14:textId="524FF676">
            <w:pPr>
              <w:pStyle w:val="TableParagraph"/>
              <w:spacing w:line="276" w:lineRule="exact"/>
            </w:pPr>
            <w:r>
              <w:t>JSE</w:t>
            </w:r>
          </w:p>
        </w:tc>
      </w:tr>
      <w:tr w:rsidRPr="0039739D" w:rsidR="00300BE4" w:rsidTr="3CA940F4" w14:paraId="5EEBA80D" w14:textId="77777777">
        <w:trPr>
          <w:trHeight w:val="606"/>
        </w:trPr>
        <w:tc>
          <w:tcPr>
            <w:tcW w:w="836" w:type="dxa"/>
            <w:tcBorders>
              <w:left w:val="single" w:color="000000" w:themeColor="text1" w:sz="4" w:space="0"/>
              <w:right w:val="single" w:color="000000" w:themeColor="text1" w:sz="4" w:space="0"/>
            </w:tcBorders>
          </w:tcPr>
          <w:p w:rsidRPr="0039739D" w:rsidR="00300BE4" w:rsidRDefault="00CB2D8A" w14:paraId="5EEBA809" w14:textId="77777777">
            <w:pPr>
              <w:pStyle w:val="TableParagraph"/>
              <w:ind w:left="105"/>
            </w:pPr>
            <w:r w:rsidRPr="0039739D">
              <w:t>3.0</w:t>
            </w:r>
          </w:p>
        </w:tc>
        <w:tc>
          <w:tcPr>
            <w:tcW w:w="1843" w:type="dxa"/>
            <w:tcBorders>
              <w:left w:val="single" w:color="000000" w:themeColor="text1" w:sz="4" w:space="0"/>
              <w:right w:val="single" w:color="000000" w:themeColor="text1" w:sz="4" w:space="0"/>
            </w:tcBorders>
          </w:tcPr>
          <w:p w:rsidRPr="0039739D" w:rsidR="00300BE4" w:rsidRDefault="00CB2D8A" w14:paraId="5EEBA80A" w14:textId="77777777">
            <w:pPr>
              <w:pStyle w:val="TableParagraph"/>
            </w:pPr>
            <w:r w:rsidRPr="0039739D">
              <w:t>May 2020</w:t>
            </w:r>
          </w:p>
        </w:tc>
        <w:tc>
          <w:tcPr>
            <w:tcW w:w="4961" w:type="dxa"/>
            <w:tcBorders>
              <w:left w:val="single" w:color="000000" w:themeColor="text1" w:sz="4" w:space="0"/>
              <w:right w:val="single" w:color="000000" w:themeColor="text1" w:sz="4" w:space="0"/>
            </w:tcBorders>
          </w:tcPr>
          <w:p w:rsidRPr="0039739D" w:rsidR="00300BE4" w:rsidRDefault="00CB2D8A" w14:paraId="5EEBA80B" w14:textId="55AC1758">
            <w:pPr>
              <w:pStyle w:val="TableParagraph"/>
            </w:pPr>
            <w:r w:rsidRPr="0039739D">
              <w:t>COVID-19 amendments</w:t>
            </w:r>
            <w:r w:rsidR="00720D71">
              <w:t>.</w:t>
            </w:r>
          </w:p>
        </w:tc>
        <w:tc>
          <w:tcPr>
            <w:tcW w:w="1984" w:type="dxa"/>
            <w:tcBorders>
              <w:left w:val="single" w:color="000000" w:themeColor="text1" w:sz="4" w:space="0"/>
              <w:right w:val="single" w:color="000000" w:themeColor="text1" w:sz="4" w:space="0"/>
            </w:tcBorders>
          </w:tcPr>
          <w:p w:rsidRPr="0039739D" w:rsidR="00300BE4" w:rsidRDefault="00DB7D9D" w14:paraId="5EEBA80C" w14:textId="4CBDFF67">
            <w:pPr>
              <w:pStyle w:val="TableParagraph"/>
              <w:spacing w:line="290" w:lineRule="atLeast"/>
              <w:ind w:right="127"/>
            </w:pPr>
            <w:r>
              <w:t>JSE</w:t>
            </w:r>
          </w:p>
        </w:tc>
      </w:tr>
      <w:tr w:rsidRPr="0039739D" w:rsidR="00300BE4" w:rsidTr="3CA940F4" w14:paraId="5EEBA812" w14:textId="77777777">
        <w:trPr>
          <w:trHeight w:val="606"/>
        </w:trPr>
        <w:tc>
          <w:tcPr>
            <w:tcW w:w="836" w:type="dxa"/>
            <w:tcBorders>
              <w:left w:val="single" w:color="000000" w:themeColor="text1" w:sz="4" w:space="0"/>
              <w:right w:val="single" w:color="000000" w:themeColor="text1" w:sz="4" w:space="0"/>
            </w:tcBorders>
          </w:tcPr>
          <w:p w:rsidRPr="0039739D" w:rsidR="00300BE4" w:rsidRDefault="00CB2D8A" w14:paraId="5EEBA80E" w14:textId="77777777">
            <w:pPr>
              <w:pStyle w:val="TableParagraph"/>
              <w:ind w:left="105"/>
            </w:pPr>
            <w:r w:rsidRPr="0039739D">
              <w:t>4.0</w:t>
            </w:r>
          </w:p>
        </w:tc>
        <w:tc>
          <w:tcPr>
            <w:tcW w:w="1843" w:type="dxa"/>
            <w:tcBorders>
              <w:left w:val="single" w:color="000000" w:themeColor="text1" w:sz="4" w:space="0"/>
              <w:right w:val="single" w:color="000000" w:themeColor="text1" w:sz="4" w:space="0"/>
            </w:tcBorders>
          </w:tcPr>
          <w:p w:rsidRPr="0039739D" w:rsidR="00300BE4" w:rsidRDefault="00CB2D8A" w14:paraId="5EEBA80F" w14:textId="77777777">
            <w:pPr>
              <w:pStyle w:val="TableParagraph"/>
              <w:spacing w:line="290" w:lineRule="atLeast"/>
              <w:ind w:right="370"/>
            </w:pPr>
            <w:r w:rsidRPr="0039739D">
              <w:t>September 2020</w:t>
            </w:r>
          </w:p>
        </w:tc>
        <w:tc>
          <w:tcPr>
            <w:tcW w:w="4961" w:type="dxa"/>
            <w:tcBorders>
              <w:left w:val="single" w:color="000000" w:themeColor="text1" w:sz="4" w:space="0"/>
              <w:right w:val="single" w:color="000000" w:themeColor="text1" w:sz="4" w:space="0"/>
            </w:tcBorders>
          </w:tcPr>
          <w:p w:rsidRPr="0039739D" w:rsidR="00300BE4" w:rsidRDefault="00CB2D8A" w14:paraId="5EEBA810" w14:textId="3DFE0900">
            <w:pPr>
              <w:pStyle w:val="TableParagraph"/>
            </w:pPr>
            <w:r w:rsidRPr="0039739D">
              <w:t>Further COVID-19 amendments</w:t>
            </w:r>
            <w:r w:rsidR="00720D71">
              <w:t>.</w:t>
            </w:r>
          </w:p>
        </w:tc>
        <w:tc>
          <w:tcPr>
            <w:tcW w:w="1984" w:type="dxa"/>
            <w:tcBorders>
              <w:left w:val="single" w:color="000000" w:themeColor="text1" w:sz="4" w:space="0"/>
              <w:right w:val="single" w:color="000000" w:themeColor="text1" w:sz="4" w:space="0"/>
            </w:tcBorders>
          </w:tcPr>
          <w:p w:rsidRPr="0039739D" w:rsidR="00300BE4" w:rsidRDefault="00DB7D9D" w14:paraId="5EEBA811" w14:textId="34679CC4">
            <w:pPr>
              <w:pStyle w:val="TableParagraph"/>
              <w:spacing w:line="290" w:lineRule="atLeast"/>
              <w:ind w:right="127"/>
            </w:pPr>
            <w:r>
              <w:t>JSE</w:t>
            </w:r>
          </w:p>
        </w:tc>
      </w:tr>
      <w:tr w:rsidRPr="0039739D" w:rsidR="00300BE4" w:rsidTr="3CA940F4" w14:paraId="5EEBA818" w14:textId="77777777">
        <w:trPr>
          <w:trHeight w:val="612"/>
        </w:trPr>
        <w:tc>
          <w:tcPr>
            <w:tcW w:w="836" w:type="dxa"/>
            <w:tcBorders>
              <w:left w:val="single" w:color="000000" w:themeColor="text1" w:sz="4" w:space="0"/>
              <w:right w:val="single" w:color="000000" w:themeColor="text1" w:sz="4" w:space="0"/>
            </w:tcBorders>
          </w:tcPr>
          <w:p w:rsidRPr="0039739D" w:rsidR="00300BE4" w:rsidRDefault="00CB2D8A" w14:paraId="5EEBA813" w14:textId="77777777">
            <w:pPr>
              <w:pStyle w:val="TableParagraph"/>
              <w:spacing w:before="4"/>
              <w:ind w:left="105"/>
            </w:pPr>
            <w:r w:rsidRPr="0039739D">
              <w:t>5.0</w:t>
            </w:r>
          </w:p>
        </w:tc>
        <w:tc>
          <w:tcPr>
            <w:tcW w:w="1843" w:type="dxa"/>
            <w:tcBorders>
              <w:left w:val="single" w:color="000000" w:themeColor="text1" w:sz="4" w:space="0"/>
              <w:right w:val="single" w:color="000000" w:themeColor="text1" w:sz="4" w:space="0"/>
            </w:tcBorders>
          </w:tcPr>
          <w:p w:rsidRPr="0039739D" w:rsidR="00300BE4" w:rsidRDefault="00CB2D8A" w14:paraId="5EEBA814" w14:textId="77777777">
            <w:pPr>
              <w:pStyle w:val="TableParagraph"/>
              <w:spacing w:before="4"/>
            </w:pPr>
            <w:r w:rsidRPr="0039739D">
              <w:t>October 2020</w:t>
            </w:r>
          </w:p>
        </w:tc>
        <w:tc>
          <w:tcPr>
            <w:tcW w:w="4961" w:type="dxa"/>
            <w:tcBorders>
              <w:left w:val="single" w:color="000000" w:themeColor="text1" w:sz="4" w:space="0"/>
              <w:right w:val="single" w:color="000000" w:themeColor="text1" w:sz="4" w:space="0"/>
            </w:tcBorders>
          </w:tcPr>
          <w:p w:rsidRPr="0039739D" w:rsidR="00300BE4" w:rsidRDefault="00CB2D8A" w14:paraId="5EEBA815" w14:textId="210AFFA4">
            <w:pPr>
              <w:pStyle w:val="TableParagraph"/>
              <w:spacing w:before="4"/>
            </w:pPr>
            <w:r w:rsidRPr="0039739D">
              <w:t>Multiple updates</w:t>
            </w:r>
            <w:r w:rsidR="00720D71">
              <w:t>.</w:t>
            </w:r>
          </w:p>
        </w:tc>
        <w:tc>
          <w:tcPr>
            <w:tcW w:w="1984" w:type="dxa"/>
            <w:tcBorders>
              <w:left w:val="single" w:color="000000" w:themeColor="text1" w:sz="4" w:space="0"/>
              <w:right w:val="single" w:color="000000" w:themeColor="text1" w:sz="4" w:space="0"/>
            </w:tcBorders>
          </w:tcPr>
          <w:p w:rsidRPr="0039739D" w:rsidR="00300BE4" w:rsidP="00AC621B" w:rsidRDefault="00DB7D9D" w14:paraId="5EEBA817" w14:textId="71BB6CA7">
            <w:pPr>
              <w:pStyle w:val="TableParagraph"/>
              <w:spacing w:before="6" w:line="277" w:lineRule="exact"/>
            </w:pPr>
            <w:r>
              <w:t>JSE</w:t>
            </w:r>
          </w:p>
        </w:tc>
      </w:tr>
      <w:tr w:rsidR="00AC621B" w:rsidTr="3CA940F4" w14:paraId="5359446C" w14:textId="77777777">
        <w:trPr>
          <w:trHeight w:val="612"/>
        </w:trPr>
        <w:tc>
          <w:tcPr>
            <w:tcW w:w="836" w:type="dxa"/>
            <w:tcBorders>
              <w:left w:val="single" w:color="000000" w:themeColor="text1" w:sz="4" w:space="0"/>
              <w:right w:val="single" w:color="000000" w:themeColor="text1" w:sz="4" w:space="0"/>
            </w:tcBorders>
          </w:tcPr>
          <w:p w:rsidRPr="0039739D" w:rsidR="00AC621B" w:rsidRDefault="00AC621B" w14:paraId="22989DB4" w14:textId="1F7D2BF3">
            <w:pPr>
              <w:pStyle w:val="TableParagraph"/>
              <w:spacing w:before="4"/>
              <w:ind w:left="105"/>
            </w:pPr>
            <w:r w:rsidRPr="0039739D">
              <w:t>6.0</w:t>
            </w:r>
          </w:p>
        </w:tc>
        <w:tc>
          <w:tcPr>
            <w:tcW w:w="1843" w:type="dxa"/>
            <w:tcBorders>
              <w:left w:val="single" w:color="000000" w:themeColor="text1" w:sz="4" w:space="0"/>
              <w:right w:val="single" w:color="000000" w:themeColor="text1" w:sz="4" w:space="0"/>
            </w:tcBorders>
          </w:tcPr>
          <w:p w:rsidRPr="0039739D" w:rsidR="00AC621B" w:rsidRDefault="008D1302" w14:paraId="53E6CDB2" w14:textId="5EC8843B">
            <w:pPr>
              <w:pStyle w:val="TableParagraph"/>
              <w:spacing w:before="4"/>
            </w:pPr>
            <w:r>
              <w:t>May</w:t>
            </w:r>
            <w:r w:rsidRPr="0039739D" w:rsidR="00AC621B">
              <w:t xml:space="preserve"> 2021</w:t>
            </w:r>
          </w:p>
        </w:tc>
        <w:tc>
          <w:tcPr>
            <w:tcW w:w="4961" w:type="dxa"/>
            <w:tcBorders>
              <w:left w:val="single" w:color="000000" w:themeColor="text1" w:sz="4" w:space="0"/>
              <w:right w:val="single" w:color="000000" w:themeColor="text1" w:sz="4" w:space="0"/>
            </w:tcBorders>
          </w:tcPr>
          <w:p w:rsidRPr="0039739D" w:rsidR="00AC621B" w:rsidRDefault="00333E75" w14:paraId="586DFC94" w14:textId="32AC8F87">
            <w:pPr>
              <w:pStyle w:val="TableParagraph"/>
              <w:spacing w:before="4"/>
            </w:pPr>
            <w:r>
              <w:t>Amendments to provide JSE access to Victorian public entities; removal of COVID-19 amendments</w:t>
            </w:r>
            <w:r w:rsidR="00720D71">
              <w:t>.</w:t>
            </w:r>
          </w:p>
        </w:tc>
        <w:tc>
          <w:tcPr>
            <w:tcW w:w="1984" w:type="dxa"/>
            <w:tcBorders>
              <w:left w:val="single" w:color="000000" w:themeColor="text1" w:sz="4" w:space="0"/>
              <w:right w:val="single" w:color="000000" w:themeColor="text1" w:sz="4" w:space="0"/>
            </w:tcBorders>
          </w:tcPr>
          <w:p w:rsidRPr="0056438F" w:rsidR="00AC621B" w:rsidRDefault="00DB7D9D" w14:paraId="0E7FAE95" w14:textId="2FB3436D">
            <w:pPr>
              <w:pStyle w:val="TableParagraph"/>
              <w:spacing w:before="4"/>
            </w:pPr>
            <w:r>
              <w:t>JSE</w:t>
            </w:r>
          </w:p>
        </w:tc>
      </w:tr>
      <w:tr w:rsidR="00794307" w:rsidTr="3CA940F4" w14:paraId="513D876D" w14:textId="77777777">
        <w:trPr>
          <w:trHeight w:val="612"/>
        </w:trPr>
        <w:tc>
          <w:tcPr>
            <w:tcW w:w="836" w:type="dxa"/>
            <w:tcBorders>
              <w:left w:val="single" w:color="000000" w:themeColor="text1" w:sz="4" w:space="0"/>
              <w:right w:val="single" w:color="000000" w:themeColor="text1" w:sz="4" w:space="0"/>
            </w:tcBorders>
          </w:tcPr>
          <w:p w:rsidRPr="0039739D" w:rsidR="00794307" w:rsidRDefault="00794307" w14:paraId="2D1BF67F" w14:textId="5DFF2A81">
            <w:pPr>
              <w:pStyle w:val="TableParagraph"/>
              <w:spacing w:before="4"/>
              <w:ind w:left="105"/>
            </w:pPr>
            <w:r>
              <w:t>7.0</w:t>
            </w:r>
          </w:p>
        </w:tc>
        <w:tc>
          <w:tcPr>
            <w:tcW w:w="1843" w:type="dxa"/>
            <w:tcBorders>
              <w:left w:val="single" w:color="000000" w:themeColor="text1" w:sz="4" w:space="0"/>
              <w:right w:val="single" w:color="000000" w:themeColor="text1" w:sz="4" w:space="0"/>
            </w:tcBorders>
          </w:tcPr>
          <w:p w:rsidR="00794307" w:rsidRDefault="00794307" w14:paraId="24CC3E7B" w14:textId="37F8FF7F">
            <w:pPr>
              <w:pStyle w:val="TableParagraph"/>
              <w:spacing w:before="4"/>
            </w:pPr>
            <w:r>
              <w:t xml:space="preserve">June </w:t>
            </w:r>
            <w:r w:rsidR="00966D3B">
              <w:t>2021</w:t>
            </w:r>
          </w:p>
        </w:tc>
        <w:tc>
          <w:tcPr>
            <w:tcW w:w="4961" w:type="dxa"/>
            <w:tcBorders>
              <w:left w:val="single" w:color="000000" w:themeColor="text1" w:sz="4" w:space="0"/>
              <w:right w:val="single" w:color="000000" w:themeColor="text1" w:sz="4" w:space="0"/>
            </w:tcBorders>
          </w:tcPr>
          <w:p w:rsidR="00794307" w:rsidRDefault="00966D3B" w14:paraId="4A85AE14" w14:textId="27EF91B3">
            <w:pPr>
              <w:pStyle w:val="TableParagraph"/>
              <w:spacing w:before="4"/>
            </w:pPr>
            <w:r>
              <w:t xml:space="preserve">Amendments to provide JSE access to </w:t>
            </w:r>
            <w:r w:rsidR="00C86D2D">
              <w:t>employees</w:t>
            </w:r>
            <w:r w:rsidR="002B5F20">
              <w:t xml:space="preserve"> of Victorian public entities</w:t>
            </w:r>
            <w:r w:rsidR="00C86D2D">
              <w:t xml:space="preserve"> </w:t>
            </w:r>
            <w:r w:rsidR="005A3F8A">
              <w:t>who are participants of</w:t>
            </w:r>
            <w:r w:rsidR="00C86D2D">
              <w:t xml:space="preserve"> internship programs</w:t>
            </w:r>
            <w:r w:rsidR="005A3F8A">
              <w:t xml:space="preserve">. </w:t>
            </w:r>
          </w:p>
        </w:tc>
        <w:tc>
          <w:tcPr>
            <w:tcW w:w="1984" w:type="dxa"/>
            <w:tcBorders>
              <w:left w:val="single" w:color="000000" w:themeColor="text1" w:sz="4" w:space="0"/>
              <w:right w:val="single" w:color="000000" w:themeColor="text1" w:sz="4" w:space="0"/>
            </w:tcBorders>
          </w:tcPr>
          <w:p w:rsidRPr="0039739D" w:rsidR="00794307" w:rsidRDefault="00DB7D9D" w14:paraId="0574145B" w14:textId="181C6B76">
            <w:pPr>
              <w:pStyle w:val="TableParagraph"/>
              <w:spacing w:before="4"/>
            </w:pPr>
            <w:r>
              <w:t>JSE</w:t>
            </w:r>
          </w:p>
        </w:tc>
      </w:tr>
      <w:tr w:rsidR="00DB7D9D" w:rsidTr="3CA940F4" w14:paraId="75CF412C" w14:textId="77777777">
        <w:trPr>
          <w:trHeight w:val="612"/>
        </w:trPr>
        <w:tc>
          <w:tcPr>
            <w:tcW w:w="836" w:type="dxa"/>
            <w:tcBorders>
              <w:left w:val="single" w:color="000000" w:themeColor="text1" w:sz="4" w:space="0"/>
              <w:right w:val="single" w:color="000000" w:themeColor="text1" w:sz="4" w:space="0"/>
            </w:tcBorders>
            <w:shd w:val="clear" w:color="auto" w:fill="auto"/>
          </w:tcPr>
          <w:p w:rsidR="00DB7D9D" w:rsidRDefault="00DB7D9D" w14:paraId="1F4B0232" w14:textId="52115FDA">
            <w:pPr>
              <w:pStyle w:val="TableParagraph"/>
              <w:spacing w:before="4"/>
              <w:ind w:left="105"/>
            </w:pPr>
            <w:r>
              <w:t>8.0</w:t>
            </w:r>
          </w:p>
        </w:tc>
        <w:tc>
          <w:tcPr>
            <w:tcW w:w="1843" w:type="dxa"/>
            <w:tcBorders>
              <w:left w:val="single" w:color="000000" w:themeColor="text1" w:sz="4" w:space="0"/>
              <w:right w:val="single" w:color="000000" w:themeColor="text1" w:sz="4" w:space="0"/>
            </w:tcBorders>
            <w:shd w:val="clear" w:color="auto" w:fill="auto"/>
          </w:tcPr>
          <w:p w:rsidR="00DB7D9D" w:rsidRDefault="00DB7D9D" w14:paraId="1B9FF5C2" w14:textId="2B8B0729">
            <w:pPr>
              <w:pStyle w:val="TableParagraph"/>
              <w:spacing w:before="4"/>
            </w:pPr>
            <w:r>
              <w:t>December 2021</w:t>
            </w:r>
          </w:p>
        </w:tc>
        <w:tc>
          <w:tcPr>
            <w:tcW w:w="4961" w:type="dxa"/>
            <w:tcBorders>
              <w:left w:val="single" w:color="000000" w:themeColor="text1" w:sz="4" w:space="0"/>
              <w:right w:val="single" w:color="000000" w:themeColor="text1" w:sz="4" w:space="0"/>
            </w:tcBorders>
            <w:shd w:val="clear" w:color="auto" w:fill="auto"/>
          </w:tcPr>
          <w:p w:rsidR="00DB7D9D" w:rsidRDefault="63CE8670" w14:paraId="62A3D2CA" w14:textId="4C755E9C">
            <w:pPr>
              <w:pStyle w:val="TableParagraph"/>
              <w:spacing w:before="4"/>
            </w:pPr>
            <w:r>
              <w:t xml:space="preserve">Various amendments </w:t>
            </w:r>
            <w:bookmarkStart w:name="_Int_QLDDuJ12" w:id="37"/>
            <w:r>
              <w:t>designed</w:t>
            </w:r>
            <w:bookmarkEnd w:id="37"/>
            <w:r>
              <w:t xml:space="preserve"> to provide higher-level oversight in relation to approval to advertise externally. New clauses </w:t>
            </w:r>
            <w:bookmarkStart w:name="_Int_q294s0Iz" w:id="38"/>
            <w:r>
              <w:t>added</w:t>
            </w:r>
            <w:bookmarkEnd w:id="38"/>
            <w:r>
              <w:t xml:space="preserve"> in relation to prioritisation of redeployees and immediate external advertising in parallel with the JSE. </w:t>
            </w:r>
          </w:p>
        </w:tc>
        <w:tc>
          <w:tcPr>
            <w:tcW w:w="1984" w:type="dxa"/>
            <w:tcBorders>
              <w:left w:val="single" w:color="000000" w:themeColor="text1" w:sz="4" w:space="0"/>
              <w:right w:val="single" w:color="000000" w:themeColor="text1" w:sz="4" w:space="0"/>
            </w:tcBorders>
            <w:shd w:val="clear" w:color="auto" w:fill="auto"/>
          </w:tcPr>
          <w:p w:rsidRPr="0039739D" w:rsidR="00DB7D9D" w:rsidRDefault="00DB7D9D" w14:paraId="41DA7BE1" w14:textId="19A03135">
            <w:pPr>
              <w:pStyle w:val="TableParagraph"/>
              <w:spacing w:before="4"/>
            </w:pPr>
            <w:r>
              <w:t>JSE</w:t>
            </w:r>
          </w:p>
        </w:tc>
      </w:tr>
      <w:tr w:rsidR="00164574" w:rsidTr="3CA940F4" w14:paraId="28276CEA" w14:textId="77777777">
        <w:trPr>
          <w:trHeight w:val="612"/>
        </w:trPr>
        <w:tc>
          <w:tcPr>
            <w:tcW w:w="836" w:type="dxa"/>
            <w:tcBorders>
              <w:left w:val="single" w:color="000000" w:themeColor="text1" w:sz="4" w:space="0"/>
              <w:right w:val="single" w:color="000000" w:themeColor="text1" w:sz="4" w:space="0"/>
            </w:tcBorders>
            <w:shd w:val="clear" w:color="auto" w:fill="auto"/>
          </w:tcPr>
          <w:p w:rsidR="00164574" w:rsidRDefault="00164574" w14:paraId="74BE340F" w14:textId="5C9E5DB8">
            <w:pPr>
              <w:pStyle w:val="TableParagraph"/>
              <w:spacing w:before="4"/>
              <w:ind w:left="105"/>
            </w:pPr>
            <w:r>
              <w:t>9.0</w:t>
            </w:r>
          </w:p>
        </w:tc>
        <w:tc>
          <w:tcPr>
            <w:tcW w:w="1843" w:type="dxa"/>
            <w:tcBorders>
              <w:left w:val="single" w:color="000000" w:themeColor="text1" w:sz="4" w:space="0"/>
              <w:right w:val="single" w:color="000000" w:themeColor="text1" w:sz="4" w:space="0"/>
            </w:tcBorders>
            <w:shd w:val="clear" w:color="auto" w:fill="auto"/>
          </w:tcPr>
          <w:p w:rsidR="00164574" w:rsidRDefault="007F291E" w14:paraId="3FE0229A" w14:textId="326C2ACC">
            <w:pPr>
              <w:pStyle w:val="TableParagraph"/>
              <w:spacing w:before="4"/>
            </w:pPr>
            <w:r>
              <w:t xml:space="preserve">April </w:t>
            </w:r>
            <w:r w:rsidR="00164574">
              <w:t>2022</w:t>
            </w:r>
          </w:p>
        </w:tc>
        <w:tc>
          <w:tcPr>
            <w:tcW w:w="4961" w:type="dxa"/>
            <w:tcBorders>
              <w:left w:val="single" w:color="000000" w:themeColor="text1" w:sz="4" w:space="0"/>
              <w:right w:val="single" w:color="000000" w:themeColor="text1" w:sz="4" w:space="0"/>
            </w:tcBorders>
            <w:shd w:val="clear" w:color="auto" w:fill="auto"/>
          </w:tcPr>
          <w:p w:rsidR="00164574" w:rsidRDefault="4DCEF2BA" w14:paraId="149C513A" w14:textId="3D46EBF4">
            <w:pPr>
              <w:pStyle w:val="TableParagraph"/>
              <w:spacing w:before="4"/>
            </w:pPr>
            <w:r>
              <w:t xml:space="preserve">New clause </w:t>
            </w:r>
            <w:r w:rsidR="7638A94F">
              <w:t xml:space="preserve">34 </w:t>
            </w:r>
            <w:bookmarkStart w:name="_Int_lmSchmOb" w:id="39"/>
            <w:r>
              <w:t>added</w:t>
            </w:r>
            <w:bookmarkEnd w:id="39"/>
            <w:r>
              <w:t xml:space="preserve"> to provide redeployees and fixed term employees whose employment ends on and after 31 March 2022 with extended access to the JSE for a period of nine months</w:t>
            </w:r>
            <w:r w:rsidR="00E3387F">
              <w:t xml:space="preserve">. </w:t>
            </w:r>
            <w:r w:rsidR="7638A94F">
              <w:t>Clause 21 amended to clarify that redeployees who have left the VPS and now have extended access to the JSE are eligible to apply for roles through the JSE. However, they are not required to be prioritised for ongoing roles.</w:t>
            </w:r>
          </w:p>
        </w:tc>
        <w:tc>
          <w:tcPr>
            <w:tcW w:w="1984" w:type="dxa"/>
            <w:tcBorders>
              <w:left w:val="single" w:color="000000" w:themeColor="text1" w:sz="4" w:space="0"/>
              <w:right w:val="single" w:color="000000" w:themeColor="text1" w:sz="4" w:space="0"/>
            </w:tcBorders>
            <w:shd w:val="clear" w:color="auto" w:fill="auto"/>
          </w:tcPr>
          <w:p w:rsidR="00164574" w:rsidRDefault="00164574" w14:paraId="4BE4EB65" w14:textId="29D29D7F">
            <w:pPr>
              <w:pStyle w:val="TableParagraph"/>
              <w:spacing w:before="4"/>
            </w:pPr>
            <w:r>
              <w:t>JSE</w:t>
            </w:r>
          </w:p>
        </w:tc>
      </w:tr>
      <w:tr w:rsidR="00E74212" w:rsidTr="3CA940F4" w14:paraId="3BD19A69" w14:textId="77777777">
        <w:trPr>
          <w:trHeight w:val="612"/>
        </w:trPr>
        <w:tc>
          <w:tcPr>
            <w:tcW w:w="836" w:type="dxa"/>
            <w:tcBorders>
              <w:left w:val="single" w:color="000000" w:themeColor="text1" w:sz="4" w:space="0"/>
              <w:right w:val="single" w:color="000000" w:themeColor="text1" w:sz="4" w:space="0"/>
            </w:tcBorders>
            <w:shd w:val="clear" w:color="auto" w:fill="auto"/>
          </w:tcPr>
          <w:p w:rsidR="00E74212" w:rsidRDefault="00E74212" w14:paraId="61B3C9FC" w14:textId="5337A777">
            <w:pPr>
              <w:pStyle w:val="TableParagraph"/>
              <w:spacing w:before="4"/>
              <w:ind w:left="105"/>
            </w:pPr>
            <w:r>
              <w:t>9.0a</w:t>
            </w:r>
          </w:p>
        </w:tc>
        <w:tc>
          <w:tcPr>
            <w:tcW w:w="1843" w:type="dxa"/>
            <w:tcBorders>
              <w:left w:val="single" w:color="000000" w:themeColor="text1" w:sz="4" w:space="0"/>
              <w:right w:val="single" w:color="000000" w:themeColor="text1" w:sz="4" w:space="0"/>
            </w:tcBorders>
            <w:shd w:val="clear" w:color="auto" w:fill="auto"/>
          </w:tcPr>
          <w:p w:rsidR="00E74212" w:rsidRDefault="00E74212" w14:paraId="4958B81D" w14:textId="0FAC24BA">
            <w:pPr>
              <w:pStyle w:val="TableParagraph"/>
              <w:spacing w:before="4"/>
            </w:pPr>
            <w:r>
              <w:t>May 2022</w:t>
            </w:r>
          </w:p>
        </w:tc>
        <w:tc>
          <w:tcPr>
            <w:tcW w:w="4961" w:type="dxa"/>
            <w:tcBorders>
              <w:left w:val="single" w:color="000000" w:themeColor="text1" w:sz="4" w:space="0"/>
              <w:right w:val="single" w:color="000000" w:themeColor="text1" w:sz="4" w:space="0"/>
            </w:tcBorders>
            <w:shd w:val="clear" w:color="auto" w:fill="auto"/>
          </w:tcPr>
          <w:p w:rsidR="00E74212" w:rsidRDefault="009E6F7C" w14:paraId="6B9C1C21" w14:textId="4733DCDE">
            <w:pPr>
              <w:pStyle w:val="TableParagraph"/>
              <w:spacing w:before="4"/>
            </w:pPr>
            <w:r>
              <w:t>Administrative c</w:t>
            </w:r>
            <w:r w:rsidR="002B2979">
              <w:t>hange</w:t>
            </w:r>
            <w:r>
              <w:t>s</w:t>
            </w:r>
            <w:r w:rsidR="002B2979">
              <w:t xml:space="preserve"> to Appendix A, paragraph</w:t>
            </w:r>
            <w:r w:rsidR="007977F4">
              <w:t xml:space="preserve"> ‘a’ to add Invest Victoria</w:t>
            </w:r>
            <w:r w:rsidR="00E0384A">
              <w:t xml:space="preserve"> a</w:t>
            </w:r>
            <w:r w:rsidR="007977F4">
              <w:t>nd to paragraph</w:t>
            </w:r>
            <w:r w:rsidR="002B2979">
              <w:t xml:space="preserve"> ‘d’ to add end </w:t>
            </w:r>
            <w:r w:rsidR="006E1FFC">
              <w:t xml:space="preserve">access </w:t>
            </w:r>
            <w:r w:rsidR="002B2979">
              <w:t>date</w:t>
            </w:r>
            <w:r w:rsidR="007977F4">
              <w:t>s</w:t>
            </w:r>
            <w:r w:rsidR="002B2979">
              <w:t xml:space="preserve"> to sector organisations. </w:t>
            </w:r>
          </w:p>
        </w:tc>
        <w:tc>
          <w:tcPr>
            <w:tcW w:w="1984" w:type="dxa"/>
            <w:tcBorders>
              <w:left w:val="single" w:color="000000" w:themeColor="text1" w:sz="4" w:space="0"/>
              <w:right w:val="single" w:color="000000" w:themeColor="text1" w:sz="4" w:space="0"/>
            </w:tcBorders>
            <w:shd w:val="clear" w:color="auto" w:fill="auto"/>
          </w:tcPr>
          <w:p w:rsidR="00E74212" w:rsidRDefault="002B2979" w14:paraId="5EF017E5" w14:textId="6223286F">
            <w:pPr>
              <w:pStyle w:val="TableParagraph"/>
              <w:spacing w:before="4"/>
            </w:pPr>
            <w:r>
              <w:t>JSE</w:t>
            </w:r>
          </w:p>
        </w:tc>
      </w:tr>
      <w:tr w:rsidR="00EF5EFA" w:rsidTr="3CA940F4" w14:paraId="4B0AC6DF" w14:textId="77777777">
        <w:trPr>
          <w:trHeight w:val="612"/>
        </w:trPr>
        <w:tc>
          <w:tcPr>
            <w:tcW w:w="836" w:type="dxa"/>
            <w:tcBorders>
              <w:left w:val="single" w:color="000000" w:themeColor="text1" w:sz="4" w:space="0"/>
              <w:right w:val="single" w:color="000000" w:themeColor="text1" w:sz="4" w:space="0"/>
            </w:tcBorders>
            <w:shd w:val="clear" w:color="auto" w:fill="auto"/>
          </w:tcPr>
          <w:p w:rsidR="00EF5EFA" w:rsidRDefault="00EF5EFA" w14:paraId="4291664A" w14:textId="60CDE201">
            <w:pPr>
              <w:pStyle w:val="TableParagraph"/>
              <w:spacing w:before="4"/>
              <w:ind w:left="105"/>
            </w:pPr>
            <w:r>
              <w:t>9.0b</w:t>
            </w:r>
          </w:p>
        </w:tc>
        <w:tc>
          <w:tcPr>
            <w:tcW w:w="1843" w:type="dxa"/>
            <w:tcBorders>
              <w:left w:val="single" w:color="000000" w:themeColor="text1" w:sz="4" w:space="0"/>
              <w:right w:val="single" w:color="000000" w:themeColor="text1" w:sz="4" w:space="0"/>
            </w:tcBorders>
            <w:shd w:val="clear" w:color="auto" w:fill="auto"/>
          </w:tcPr>
          <w:p w:rsidR="00EF5EFA" w:rsidRDefault="00EF5EFA" w14:paraId="5F0DEAA4" w14:textId="588B57AE">
            <w:pPr>
              <w:pStyle w:val="TableParagraph"/>
              <w:spacing w:before="4"/>
            </w:pPr>
            <w:r>
              <w:t>May 2022</w:t>
            </w:r>
          </w:p>
        </w:tc>
        <w:tc>
          <w:tcPr>
            <w:tcW w:w="4961" w:type="dxa"/>
            <w:tcBorders>
              <w:left w:val="single" w:color="000000" w:themeColor="text1" w:sz="4" w:space="0"/>
              <w:right w:val="single" w:color="000000" w:themeColor="text1" w:sz="4" w:space="0"/>
            </w:tcBorders>
            <w:shd w:val="clear" w:color="auto" w:fill="auto"/>
          </w:tcPr>
          <w:p w:rsidR="00EF5EFA" w:rsidRDefault="00292E19" w14:paraId="33EF738A" w14:textId="006213DB">
            <w:pPr>
              <w:pStyle w:val="TableParagraph"/>
              <w:spacing w:before="4"/>
            </w:pPr>
            <w:r>
              <w:t>Amendment to clause 21</w:t>
            </w:r>
            <w:r w:rsidR="006A7886">
              <w:t xml:space="preserve"> to remove reference to ‘ongoing’ roles.</w:t>
            </w:r>
          </w:p>
        </w:tc>
        <w:tc>
          <w:tcPr>
            <w:tcW w:w="1984" w:type="dxa"/>
            <w:tcBorders>
              <w:left w:val="single" w:color="000000" w:themeColor="text1" w:sz="4" w:space="0"/>
              <w:right w:val="single" w:color="000000" w:themeColor="text1" w:sz="4" w:space="0"/>
            </w:tcBorders>
            <w:shd w:val="clear" w:color="auto" w:fill="auto"/>
          </w:tcPr>
          <w:p w:rsidR="00EF5EFA" w:rsidRDefault="00EF5EFA" w14:paraId="0430466F" w14:textId="0AA16949">
            <w:pPr>
              <w:pStyle w:val="TableParagraph"/>
              <w:spacing w:before="4"/>
            </w:pPr>
            <w:r>
              <w:t>JSE</w:t>
            </w:r>
          </w:p>
        </w:tc>
      </w:tr>
      <w:tr w:rsidR="00026B72" w:rsidTr="3CA940F4" w14:paraId="4B624138" w14:textId="77777777">
        <w:trPr>
          <w:trHeight w:val="612"/>
        </w:trPr>
        <w:tc>
          <w:tcPr>
            <w:tcW w:w="836" w:type="dxa"/>
            <w:tcBorders>
              <w:left w:val="single" w:color="000000" w:themeColor="text1" w:sz="4" w:space="0"/>
              <w:right w:val="single" w:color="000000" w:themeColor="text1" w:sz="4" w:space="0"/>
            </w:tcBorders>
            <w:shd w:val="clear" w:color="auto" w:fill="auto"/>
          </w:tcPr>
          <w:p w:rsidR="00026B72" w:rsidRDefault="00026B72" w14:paraId="721AA084" w14:textId="75E53D67">
            <w:pPr>
              <w:pStyle w:val="TableParagraph"/>
              <w:spacing w:before="4"/>
              <w:ind w:left="105"/>
            </w:pPr>
            <w:r>
              <w:t>9.0</w:t>
            </w:r>
            <w:r w:rsidR="00663B3E">
              <w:t>c</w:t>
            </w:r>
          </w:p>
        </w:tc>
        <w:tc>
          <w:tcPr>
            <w:tcW w:w="1843" w:type="dxa"/>
            <w:tcBorders>
              <w:left w:val="single" w:color="000000" w:themeColor="text1" w:sz="4" w:space="0"/>
              <w:right w:val="single" w:color="000000" w:themeColor="text1" w:sz="4" w:space="0"/>
            </w:tcBorders>
            <w:shd w:val="clear" w:color="auto" w:fill="auto"/>
          </w:tcPr>
          <w:p w:rsidR="00026B72" w:rsidRDefault="00663B3E" w14:paraId="028CCEFC" w14:textId="20F02D72">
            <w:pPr>
              <w:pStyle w:val="TableParagraph"/>
              <w:spacing w:before="4"/>
            </w:pPr>
            <w:r>
              <w:t>Jun 2022</w:t>
            </w:r>
          </w:p>
        </w:tc>
        <w:tc>
          <w:tcPr>
            <w:tcW w:w="4961" w:type="dxa"/>
            <w:tcBorders>
              <w:left w:val="single" w:color="000000" w:themeColor="text1" w:sz="4" w:space="0"/>
              <w:right w:val="single" w:color="000000" w:themeColor="text1" w:sz="4" w:space="0"/>
            </w:tcBorders>
            <w:shd w:val="clear" w:color="auto" w:fill="auto"/>
          </w:tcPr>
          <w:p w:rsidR="00026B72" w:rsidRDefault="003605C8" w14:paraId="6EED43BB" w14:textId="22DFD230">
            <w:pPr>
              <w:pStyle w:val="TableParagraph"/>
              <w:spacing w:before="4"/>
            </w:pPr>
            <w:r>
              <w:t>Appendix A(d)</w:t>
            </w:r>
            <w:r w:rsidR="00E43AB3">
              <w:t xml:space="preserve">: </w:t>
            </w:r>
            <w:r w:rsidR="00663B3E">
              <w:t>Addition of Mt Hotham Resort Management</w:t>
            </w:r>
            <w:r>
              <w:t>. S</w:t>
            </w:r>
            <w:r w:rsidR="00B07DAA">
              <w:t xml:space="preserve">econd period of </w:t>
            </w:r>
            <w:r>
              <w:t xml:space="preserve">JSE </w:t>
            </w:r>
            <w:r w:rsidR="00B07DAA">
              <w:t>access for VicHealth</w:t>
            </w:r>
            <w:r w:rsidR="00E43AB3">
              <w:t>.</w:t>
            </w:r>
          </w:p>
        </w:tc>
        <w:tc>
          <w:tcPr>
            <w:tcW w:w="1984" w:type="dxa"/>
            <w:tcBorders>
              <w:left w:val="single" w:color="000000" w:themeColor="text1" w:sz="4" w:space="0"/>
              <w:right w:val="single" w:color="000000" w:themeColor="text1" w:sz="4" w:space="0"/>
            </w:tcBorders>
            <w:shd w:val="clear" w:color="auto" w:fill="auto"/>
          </w:tcPr>
          <w:p w:rsidR="00026B72" w:rsidRDefault="00663B3E" w14:paraId="1F4C40E5" w14:textId="660D8210">
            <w:pPr>
              <w:pStyle w:val="TableParagraph"/>
              <w:spacing w:before="4"/>
            </w:pPr>
            <w:r>
              <w:t>JSE</w:t>
            </w:r>
          </w:p>
        </w:tc>
      </w:tr>
      <w:tr w:rsidR="008A7CCB" w:rsidTr="00305C09" w14:paraId="4EF9A238" w14:textId="77777777">
        <w:trPr>
          <w:trHeight w:val="612"/>
        </w:trPr>
        <w:tc>
          <w:tcPr>
            <w:tcW w:w="836"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8A7CCB" w:rsidP="008A7CCB" w:rsidRDefault="008A7CCB" w14:paraId="51BE71A7" w14:textId="378C077F">
            <w:pPr>
              <w:pStyle w:val="TableParagraph"/>
              <w:spacing w:before="4"/>
              <w:ind w:left="105"/>
            </w:pPr>
            <w:r>
              <w:t>10</w:t>
            </w:r>
            <w:r w:rsidR="006B1190">
              <w:t>.0</w:t>
            </w:r>
          </w:p>
        </w:tc>
        <w:tc>
          <w:tcPr>
            <w:tcW w:w="1843"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8A7CCB" w:rsidP="008A7CCB" w:rsidRDefault="00BF1326" w14:paraId="121AFA79" w14:textId="2784E7D1">
            <w:pPr>
              <w:pStyle w:val="TableParagraph"/>
              <w:spacing w:before="4"/>
            </w:pPr>
            <w:r>
              <w:t xml:space="preserve">Jan </w:t>
            </w:r>
            <w:r w:rsidR="008A7CCB">
              <w:t>202</w:t>
            </w:r>
            <w:r>
              <w:t>3</w:t>
            </w:r>
          </w:p>
        </w:tc>
        <w:tc>
          <w:tcPr>
            <w:tcW w:w="4961"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8A7CCB" w:rsidP="008A7CCB" w:rsidRDefault="008A7CCB" w14:paraId="3007AF87" w14:textId="3993508B">
            <w:pPr>
              <w:pStyle w:val="TableParagraph"/>
              <w:spacing w:before="4"/>
            </w:pPr>
            <w:r>
              <w:t xml:space="preserve">Amendment to multiple clauses to align with the Redeployment </w:t>
            </w:r>
            <w:r w:rsidR="00632F0D">
              <w:t xml:space="preserve">Common </w:t>
            </w:r>
            <w:r>
              <w:t xml:space="preserve">Policy, </w:t>
            </w:r>
            <w:r w:rsidR="008E60F8">
              <w:t xml:space="preserve">add </w:t>
            </w:r>
            <w:r w:rsidR="00C51FC7">
              <w:t xml:space="preserve">table of contents, remove list of employers in Appendix A, </w:t>
            </w:r>
            <w:r w:rsidR="009938CB">
              <w:t xml:space="preserve">add </w:t>
            </w:r>
            <w:r w:rsidR="00097921">
              <w:t xml:space="preserve">sector entities list at </w:t>
            </w:r>
            <w:r w:rsidR="009938CB">
              <w:t xml:space="preserve">Appendix B </w:t>
            </w:r>
            <w:r>
              <w:t>and other wording changes.</w:t>
            </w:r>
          </w:p>
        </w:tc>
        <w:tc>
          <w:tcPr>
            <w:tcW w:w="1984"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8A7CCB" w:rsidP="008A7CCB" w:rsidRDefault="008A7CCB" w14:paraId="31E59108" w14:textId="209D79C4">
            <w:pPr>
              <w:pStyle w:val="TableParagraph"/>
              <w:spacing w:before="4"/>
            </w:pPr>
            <w:r>
              <w:t xml:space="preserve">JSE and Industrial Relations Victoria (IRV) </w:t>
            </w:r>
          </w:p>
        </w:tc>
      </w:tr>
      <w:tr w:rsidR="00150399" w:rsidTr="00305C09" w14:paraId="01081165" w14:textId="77777777">
        <w:trPr>
          <w:trHeight w:val="612"/>
        </w:trPr>
        <w:tc>
          <w:tcPr>
            <w:tcW w:w="836"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150399" w:rsidP="00150399" w:rsidRDefault="00150399" w14:paraId="7507B0D2" w14:textId="7EEAC50D">
            <w:pPr>
              <w:pStyle w:val="TableParagraph"/>
              <w:spacing w:before="4"/>
              <w:ind w:left="105"/>
            </w:pPr>
            <w:r w:rsidRPr="00BA1567">
              <w:t>10.0a</w:t>
            </w:r>
          </w:p>
        </w:tc>
        <w:tc>
          <w:tcPr>
            <w:tcW w:w="1843"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150399" w:rsidP="00150399" w:rsidRDefault="00150399" w14:paraId="43176EEF" w14:textId="0F968607">
            <w:pPr>
              <w:pStyle w:val="TableParagraph"/>
              <w:spacing w:before="4"/>
            </w:pPr>
            <w:r w:rsidRPr="00BA1567">
              <w:t>22 August 2023</w:t>
            </w:r>
          </w:p>
        </w:tc>
        <w:tc>
          <w:tcPr>
            <w:tcW w:w="4961"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150399" w:rsidP="00150399" w:rsidRDefault="00150399" w14:paraId="7507B065" w14:textId="1CA0693A">
            <w:pPr>
              <w:pStyle w:val="TableParagraph"/>
              <w:spacing w:before="4"/>
            </w:pPr>
            <w:r w:rsidRPr="00BA1567">
              <w:t>Addition of employers xii – xv to Appendix B, addition of clause 41(g). Updated Alpine Resorts Victoria access date; other minor changes</w:t>
            </w:r>
          </w:p>
        </w:tc>
        <w:tc>
          <w:tcPr>
            <w:tcW w:w="1984" w:type="dxa"/>
            <w:tcBorders>
              <w:top w:val="single" w:color="000000" w:themeColor="text1" w:sz="12" w:space="0"/>
              <w:left w:val="single" w:color="000000" w:themeColor="text1" w:sz="4" w:space="0"/>
              <w:bottom w:val="single" w:color="000000" w:themeColor="text1" w:sz="12" w:space="0"/>
              <w:right w:val="single" w:color="000000" w:themeColor="text1" w:sz="4" w:space="0"/>
            </w:tcBorders>
            <w:shd w:val="clear" w:color="auto" w:fill="auto"/>
          </w:tcPr>
          <w:p w:rsidR="00150399" w:rsidP="00150399" w:rsidRDefault="00150399" w14:paraId="43071045" w14:textId="50F18FC4">
            <w:pPr>
              <w:pStyle w:val="TableParagraph"/>
              <w:spacing w:before="4"/>
            </w:pPr>
            <w:r w:rsidRPr="00BA1567">
              <w:t>JSE</w:t>
            </w:r>
          </w:p>
        </w:tc>
      </w:tr>
      <w:tr w:rsidR="005832E5" w:rsidTr="3CA940F4" w14:paraId="330AD174" w14:textId="77777777">
        <w:trPr>
          <w:trHeight w:val="612"/>
        </w:trPr>
        <w:tc>
          <w:tcPr>
            <w:tcW w:w="836" w:type="dxa"/>
            <w:tcBorders>
              <w:left w:val="single" w:color="000000" w:themeColor="text1" w:sz="4" w:space="0"/>
              <w:bottom w:val="single" w:color="000000" w:themeColor="text1" w:sz="4" w:space="0"/>
              <w:right w:val="single" w:color="000000" w:themeColor="text1" w:sz="4" w:space="0"/>
            </w:tcBorders>
            <w:shd w:val="clear" w:color="auto" w:fill="auto"/>
          </w:tcPr>
          <w:p w:rsidR="005832E5" w:rsidP="005832E5" w:rsidRDefault="005832E5" w14:paraId="4881067C" w14:textId="3953EA63">
            <w:pPr>
              <w:pStyle w:val="TableParagraph"/>
              <w:spacing w:before="4"/>
              <w:ind w:left="105"/>
            </w:pPr>
            <w:r>
              <w:t>11.0</w:t>
            </w:r>
          </w:p>
        </w:tc>
        <w:tc>
          <w:tcPr>
            <w:tcW w:w="1843" w:type="dxa"/>
            <w:tcBorders>
              <w:left w:val="single" w:color="000000" w:themeColor="text1" w:sz="4" w:space="0"/>
              <w:bottom w:val="single" w:color="000000" w:themeColor="text1" w:sz="4" w:space="0"/>
              <w:right w:val="single" w:color="000000" w:themeColor="text1" w:sz="4" w:space="0"/>
            </w:tcBorders>
            <w:shd w:val="clear" w:color="auto" w:fill="auto"/>
          </w:tcPr>
          <w:p w:rsidR="005832E5" w:rsidP="005832E5" w:rsidRDefault="005832E5" w14:paraId="18E2ADAC" w14:textId="6353A6CA">
            <w:pPr>
              <w:pStyle w:val="TableParagraph"/>
              <w:spacing w:before="4"/>
            </w:pPr>
            <w:r>
              <w:t>April 2024</w:t>
            </w:r>
          </w:p>
        </w:tc>
        <w:tc>
          <w:tcPr>
            <w:tcW w:w="4961" w:type="dxa"/>
            <w:tcBorders>
              <w:left w:val="single" w:color="000000" w:themeColor="text1" w:sz="4" w:space="0"/>
              <w:bottom w:val="single" w:color="000000" w:themeColor="text1" w:sz="4" w:space="0"/>
              <w:right w:val="single" w:color="000000" w:themeColor="text1" w:sz="4" w:space="0"/>
            </w:tcBorders>
            <w:shd w:val="clear" w:color="auto" w:fill="auto"/>
          </w:tcPr>
          <w:p w:rsidR="005832E5" w:rsidP="005832E5" w:rsidRDefault="50E0DDDE" w14:paraId="4B2D652B" w14:textId="1B327085">
            <w:pPr>
              <w:pStyle w:val="TableParagraph"/>
              <w:spacing w:before="4"/>
            </w:pPr>
            <w:r>
              <w:t xml:space="preserve">Amendment to clause 15 and clause 39 to align with the </w:t>
            </w:r>
            <w:r w:rsidRPr="3CA940F4">
              <w:rPr>
                <w:lang w:val="en-GB"/>
              </w:rPr>
              <w:t>Common Policy on Employment Categories and Secure Employment</w:t>
            </w:r>
            <w:r>
              <w:t xml:space="preserve"> in particular the conversion of </w:t>
            </w:r>
            <w:bookmarkStart w:name="_Int_ppAvFmmH" w:id="40"/>
            <w:proofErr w:type="gramStart"/>
            <w:r>
              <w:t>fixed-term</w:t>
            </w:r>
            <w:bookmarkEnd w:id="40"/>
            <w:proofErr w:type="gramEnd"/>
            <w:r>
              <w:t xml:space="preserve"> to ongoing.</w:t>
            </w:r>
          </w:p>
        </w:tc>
        <w:tc>
          <w:tcPr>
            <w:tcW w:w="1984" w:type="dxa"/>
            <w:tcBorders>
              <w:left w:val="single" w:color="000000" w:themeColor="text1" w:sz="4" w:space="0"/>
              <w:bottom w:val="single" w:color="000000" w:themeColor="text1" w:sz="4" w:space="0"/>
              <w:right w:val="single" w:color="000000" w:themeColor="text1" w:sz="4" w:space="0"/>
            </w:tcBorders>
            <w:shd w:val="clear" w:color="auto" w:fill="auto"/>
          </w:tcPr>
          <w:p w:rsidR="005832E5" w:rsidP="005832E5" w:rsidRDefault="005832E5" w14:paraId="278EF99D" w14:textId="79136FAF">
            <w:pPr>
              <w:pStyle w:val="TableParagraph"/>
              <w:spacing w:before="4"/>
            </w:pPr>
            <w:r>
              <w:t>JSE and Industrial Relations Victoria (IRV)</w:t>
            </w:r>
          </w:p>
        </w:tc>
      </w:tr>
    </w:tbl>
    <w:p w:rsidRPr="003471C3" w:rsidR="003471C3" w:rsidP="001A5210" w:rsidRDefault="003471C3" w14:paraId="4845C853" w14:textId="6F000706"/>
    <w:sectPr w:rsidRPr="003471C3" w:rsidR="003471C3" w:rsidSect="00012202">
      <w:footnotePr>
        <w:numFmt w:val="chicago"/>
      </w:footnotePr>
      <w:pgSz w:w="11900" w:h="16840" w:orient="portrait"/>
      <w:pgMar w:top="1135" w:right="134" w:bottom="1276" w:left="284" w:header="19"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A82" w:rsidRDefault="00A43A82" w14:paraId="293FE983" w14:textId="77777777">
      <w:r>
        <w:separator/>
      </w:r>
    </w:p>
  </w:endnote>
  <w:endnote w:type="continuationSeparator" w:id="0">
    <w:p w:rsidR="00A43A82" w:rsidRDefault="00A43A82" w14:paraId="2D0C3F6D" w14:textId="77777777">
      <w:r>
        <w:continuationSeparator/>
      </w:r>
    </w:p>
  </w:endnote>
  <w:endnote w:type="continuationNotice" w:id="1">
    <w:p w:rsidR="00A43A82" w:rsidRDefault="00A43A82" w14:paraId="300F2F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C">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SemiBold">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92E" w:rsidRDefault="0051492E" w14:paraId="14E5C4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00BE4" w:rsidRDefault="006623D2" w14:paraId="5EEBA81D" w14:textId="772CC80F">
    <w:pPr>
      <w:pStyle w:val="BodyText"/>
      <w:spacing w:line="14" w:lineRule="auto"/>
      <w:ind w:firstLine="0"/>
      <w:rPr>
        <w:sz w:val="20"/>
      </w:rPr>
    </w:pPr>
    <w:r>
      <w:rPr>
        <w:noProof/>
      </w:rPr>
      <w:pict w14:anchorId="04AFA569">
        <v:shapetype id="_x0000_t202" coordsize="21600,21600" o:spt="202" path="m,l,21600r21600,l21600,xe">
          <v:stroke joinstyle="miter"/>
          <v:path gradientshapeok="t" o:connecttype="rect"/>
        </v:shapetype>
        <v:shape id="MSIPCMa38041169b6d663d122895f8" style="position:absolute;margin-left:0;margin-top:806pt;width:92.25pt;height:21pt;z-index:251658243;mso-position-horizontal-relative:page;mso-position-vertical-relative:page;v-text-anchor:bottom" alt="{&quot;HashCode&quot;:-1267603503,&quot;Height&quot;:842.0,&quot;Width&quot;:595.0,&quot;Placement&quot;:&quot;Footer&quot;,&quot;Index&quot;:&quot;Primary&quot;,&quot;Section&quot;:2,&quot;Top&quot;:0.0,&quot;Left&quot;:0.0}" o:spid="_x0000_s1039" o:allowincell="f" filled="f" stroked="f" type="#_x0000_t202">
          <v:textbox style="mso-next-textbox:#MSIPCMa38041169b6d663d122895f8" inset="20pt,0,,0">
            <w:txbxContent>
              <w:p w:rsidRPr="00CB2D8A" w:rsidR="00CB2D8A" w:rsidP="00CB2D8A" w:rsidRDefault="00CB2D8A" w14:paraId="20621FD1" w14:textId="6F6B6B04">
                <w:pPr>
                  <w:rPr>
                    <w:rFonts w:ascii="Calibri" w:hAnsi="Calibri" w:cs="Calibri"/>
                    <w:color w:val="000000"/>
                  </w:rPr>
                </w:pPr>
                <w:r w:rsidRPr="00CB2D8A">
                  <w:rPr>
                    <w:rFonts w:ascii="Calibri" w:hAnsi="Calibri" w:cs="Calibri"/>
                    <w:color w:val="000000"/>
                  </w:rPr>
                  <w:t>OFFICIAL</w:t>
                </w:r>
              </w:p>
            </w:txbxContent>
          </v:textbox>
          <w10:wrap anchorx="page" anchory="page"/>
        </v:shape>
      </w:pict>
    </w:r>
    <w:r>
      <w:pict w14:anchorId="5EEBA823">
        <v:shape id="_x0000_s1037" style="position:absolute;margin-left:371.25pt;margin-top:802.55pt;width:165.8pt;height:15.5pt;z-index:-251658239;mso-position-horizontal-relative:page;mso-position-vertical-relative:page" filled="f" stroked="f" type="#_x0000_t202">
          <v:textbox style="mso-next-textbox:#_x0000_s1037" inset="0,0,0,0">
            <w:txbxContent>
              <w:p w:rsidRPr="00DA5A74" w:rsidR="00300BE4" w:rsidRDefault="00CB2D8A" w14:paraId="5EEBA826" w14:textId="382BC52B">
                <w:pPr>
                  <w:pStyle w:val="BodyText"/>
                  <w:spacing w:before="20"/>
                  <w:ind w:left="20" w:firstLine="0"/>
                  <w:rPr>
                    <w:sz w:val="18"/>
                    <w:szCs w:val="18"/>
                  </w:rPr>
                </w:pPr>
                <w:r w:rsidRPr="00DA5A74">
                  <w:rPr>
                    <w:sz w:val="18"/>
                    <w:szCs w:val="18"/>
                  </w:rPr>
                  <w:t>JSE Recruitment Policy</w:t>
                </w:r>
                <w:r w:rsidRPr="00DA5A74" w:rsidR="00FB18B7">
                  <w:rPr>
                    <w:sz w:val="18"/>
                    <w:szCs w:val="18"/>
                  </w:rPr>
                  <w:t xml:space="preserve"> (v</w:t>
                </w:r>
                <w:r w:rsidR="003A0957">
                  <w:rPr>
                    <w:sz w:val="18"/>
                    <w:szCs w:val="18"/>
                  </w:rPr>
                  <w:t>1</w:t>
                </w:r>
                <w:r w:rsidR="007A2546">
                  <w:rPr>
                    <w:sz w:val="18"/>
                    <w:szCs w:val="18"/>
                  </w:rPr>
                  <w:t>1</w:t>
                </w:r>
                <w:r w:rsidR="003A0957">
                  <w:rPr>
                    <w:sz w:val="18"/>
                    <w:szCs w:val="18"/>
                  </w:rPr>
                  <w:t>.0</w:t>
                </w:r>
                <w:r w:rsidRPr="00DA5A74" w:rsidR="00FB18B7">
                  <w:rPr>
                    <w:sz w:val="18"/>
                    <w:szCs w:val="18"/>
                  </w:rPr>
                  <w:t>)</w:t>
                </w:r>
                <w:r w:rsidRPr="00DA5A74">
                  <w:rPr>
                    <w:sz w:val="18"/>
                    <w:szCs w:val="18"/>
                  </w:rPr>
                  <w:t xml:space="preserve"> | </w:t>
                </w:r>
                <w:r w:rsidRPr="00DA5A74">
                  <w:rPr>
                    <w:sz w:val="18"/>
                    <w:szCs w:val="18"/>
                  </w:rPr>
                  <w:fldChar w:fldCharType="begin"/>
                </w:r>
                <w:r w:rsidRPr="00DA5A74">
                  <w:rPr>
                    <w:sz w:val="18"/>
                    <w:szCs w:val="18"/>
                  </w:rPr>
                  <w:instrText xml:space="preserve"> PAGE </w:instrText>
                </w:r>
                <w:r w:rsidRPr="00DA5A74">
                  <w:rPr>
                    <w:sz w:val="18"/>
                    <w:szCs w:val="18"/>
                  </w:rPr>
                  <w:fldChar w:fldCharType="separate"/>
                </w:r>
                <w:r w:rsidRPr="00DA5A74">
                  <w:rPr>
                    <w:sz w:val="18"/>
                    <w:szCs w:val="18"/>
                  </w:rPr>
                  <w:t>2</w:t>
                </w:r>
                <w:r w:rsidRPr="00DA5A74">
                  <w:rPr>
                    <w:sz w:val="18"/>
                    <w:szCs w:val="18"/>
                  </w:rPr>
                  <w:fldChar w:fldCharType="end"/>
                </w:r>
              </w:p>
            </w:txbxContent>
          </v:textbox>
          <w10:wrap anchorx="page" anchory="page"/>
        </v:shape>
      </w:pict>
    </w:r>
    <w:r w:rsidR="00CB2D8A">
      <w:rPr>
        <w:noProof/>
      </w:rPr>
      <w:drawing>
        <wp:anchor distT="0" distB="0" distL="0" distR="0" simplePos="0" relativeHeight="251658244" behindDoc="1" locked="0" layoutInCell="1" allowOverlap="1" wp14:anchorId="5EEBA821" wp14:editId="5EEBA822">
          <wp:simplePos x="0" y="0"/>
          <wp:positionH relativeFrom="page">
            <wp:posOffset>727962</wp:posOffset>
          </wp:positionH>
          <wp:positionV relativeFrom="page">
            <wp:posOffset>9959032</wp:posOffset>
          </wp:positionV>
          <wp:extent cx="1673859" cy="3752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673859" cy="375285"/>
                  </a:xfrm>
                  <a:prstGeom prst="rect">
                    <a:avLst/>
                  </a:prstGeom>
                </pic:spPr>
              </pic:pic>
            </a:graphicData>
          </a:graphic>
        </wp:anchor>
      </w:drawing>
    </w:r>
    <w:r>
      <w:pict w14:anchorId="5EEBA824">
        <v:shape id="_x0000_s1038" style="position:absolute;margin-left:19.75pt;margin-top:812.85pt;width:41.8pt;height:15.5pt;z-index:-251658238;mso-position-horizontal-relative:page;mso-position-vertical-relative:page" filled="f" stroked="f" type="#_x0000_t202">
          <v:textbox style="mso-next-textbox:#_x0000_s1038" inset="0,0,0,0">
            <w:txbxContent>
              <w:p w:rsidR="00300BE4" w:rsidRDefault="00CB2D8A" w14:paraId="5EEBA827" w14:textId="77777777">
                <w:pPr>
                  <w:pStyle w:val="BodyText"/>
                  <w:spacing w:before="20"/>
                  <w:ind w:left="20" w:firstLine="0"/>
                  <w:rPr>
                    <w:rFonts w:ascii="Calibri"/>
                  </w:rPr>
                </w:pPr>
                <w:r>
                  <w:rPr>
                    <w:rFonts w:ascii="Calibri"/>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92E" w:rsidRDefault="0051492E" w14:paraId="0FA7F8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A82" w:rsidRDefault="00A43A82" w14:paraId="5E42790C" w14:textId="77777777">
      <w:r>
        <w:separator/>
      </w:r>
    </w:p>
  </w:footnote>
  <w:footnote w:type="continuationSeparator" w:id="0">
    <w:p w:rsidR="00A43A82" w:rsidRDefault="00A43A82" w14:paraId="79F53529" w14:textId="77777777">
      <w:r>
        <w:continuationSeparator/>
      </w:r>
    </w:p>
  </w:footnote>
  <w:footnote w:type="continuationNotice" w:id="1">
    <w:p w:rsidR="00A43A82" w:rsidRDefault="00A43A82" w14:paraId="1B41F4D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92E" w:rsidRDefault="0051492E" w14:paraId="1590CB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00BE4" w:rsidRDefault="00CB2D8A" w14:paraId="5EEBA81C" w14:textId="26593EF2">
    <w:pPr>
      <w:pStyle w:val="BodyText"/>
      <w:spacing w:line="14" w:lineRule="auto"/>
      <w:ind w:firstLine="0"/>
      <w:rPr>
        <w:sz w:val="20"/>
      </w:rPr>
    </w:pPr>
    <w:r>
      <w:rPr>
        <w:noProof/>
      </w:rPr>
      <w:drawing>
        <wp:anchor distT="0" distB="0" distL="0" distR="0" simplePos="0" relativeHeight="251658240" behindDoc="1" locked="0" layoutInCell="1" allowOverlap="1" wp14:anchorId="5EEBA81F" wp14:editId="5EEBA820">
          <wp:simplePos x="0" y="0"/>
          <wp:positionH relativeFrom="page">
            <wp:posOffset>7874</wp:posOffset>
          </wp:positionH>
          <wp:positionV relativeFrom="page">
            <wp:posOffset>11811</wp:posOffset>
          </wp:positionV>
          <wp:extent cx="7548625" cy="3187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48625" cy="3187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492E" w:rsidRDefault="0051492E" w14:paraId="0E2AEAE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FpYtJ8S2Ovm9J" int2:id="j8RNo3gP">
      <int2:state int2:value="Rejected" int2:type="AugLoop_Text_Critique"/>
    </int2:textHash>
    <int2:textHash int2:hashCode="OhwEa2Qfe70VAZ" int2:id="yHcnlyKO">
      <int2:state int2:value="Rejected" int2:type="AugLoop_Text_Critique"/>
    </int2:textHash>
    <int2:bookmark int2:bookmarkName="_Int_QAbxpkO5" int2:invalidationBookmarkName="" int2:hashCode="/cbjhXsDahHJOX" int2:id="0ITdjvrl">
      <int2:state int2:value="Rejected" int2:type="AugLoop_Text_Critique"/>
    </int2:bookmark>
    <int2:bookmark int2:bookmarkName="_Int_lmSchmOb" int2:invalidationBookmarkName="" int2:hashCode="FyQV8C5WLNApYg" int2:id="0xPW1lRk">
      <int2:state int2:value="Rejected" int2:type="AugLoop_Text_Critique"/>
    </int2:bookmark>
    <int2:bookmark int2:bookmarkName="_Int_uelIaYEe" int2:invalidationBookmarkName="" int2:hashCode="+pOqN1ZKhZqaJe" int2:id="1C7cMg16">
      <int2:state int2:value="Rejected" int2:type="AugLoop_Text_Critique"/>
    </int2:bookmark>
    <int2:bookmark int2:bookmarkName="_Int_w58J8Te0" int2:invalidationBookmarkName="" int2:hashCode="kev79kD4JN3FVC" int2:id="zqBQsgps">
      <int2:state int2:value="Rejected" int2:type="AugLoop_Text_Critique"/>
    </int2:bookmark>
    <int2:bookmark int2:bookmarkName="_Int_ITx0YcqV" int2:invalidationBookmarkName="" int2:hashCode="QRzTRe2PnPjF0T" int2:id="6CSIPK0v">
      <int2:state int2:value="Rejected" int2:type="AugLoop_Text_Critique"/>
    </int2:bookmark>
    <int2:bookmark int2:bookmarkName="_Int_4WSGacRg" int2:invalidationBookmarkName="" int2:hashCode="wtu2qkhbpFLe7t" int2:id="8XNUQBZe">
      <int2:state int2:value="Rejected" int2:type="AugLoop_Acronyms_AcronymsCritique"/>
    </int2:bookmark>
    <int2:bookmark int2:bookmarkName="_Int_ppAvFmmH" int2:invalidationBookmarkName="" int2:hashCode="IZZCnAGTbVVi/V" int2:id="EKkJFMDw">
      <int2:state int2:value="Rejected" int2:type="AugLoop_Text_Critique"/>
    </int2:bookmark>
    <int2:bookmark int2:bookmarkName="_Int_kmSnx4ct" int2:invalidationBookmarkName="" int2:hashCode="JGqSOI90XjmLi0" int2:id="LCGDHKcj">
      <int2:state int2:value="Rejected" int2:type="AugLoop_Text_Critique"/>
    </int2:bookmark>
    <int2:bookmark int2:bookmarkName="_Int_bSq3IMqV" int2:invalidationBookmarkName="" int2:hashCode="adHvx3hdwfMSfE" int2:id="M4iu3SsB">
      <int2:state int2:value="Rejected" int2:type="AugLoop_Text_Critique"/>
    </int2:bookmark>
    <int2:bookmark int2:bookmarkName="_Int_563Mc8Vi" int2:invalidationBookmarkName="" int2:hashCode="IZZCnAGTbVVi/V" int2:id="OuAPkYMy">
      <int2:state int2:value="Rejected" int2:type="AugLoop_Text_Critique"/>
    </int2:bookmark>
    <int2:bookmark int2:bookmarkName="_Int_r73DI5gq" int2:invalidationBookmarkName="" int2:hashCode="SPZdAcp15tMfor" int2:id="Sv7UGHpv">
      <int2:state int2:value="Rejected" int2:type="AugLoop_Text_Critique"/>
    </int2:bookmark>
    <int2:bookmark int2:bookmarkName="_Int_wjo09rUG" int2:invalidationBookmarkName="" int2:hashCode="gdmu6g4aQI1ltm" int2:id="T68OmUu3">
      <int2:state int2:value="Rejected" int2:type="AugLoop_Text_Critique"/>
    </int2:bookmark>
    <int2:bookmark int2:bookmarkName="_Int_SnUg3Nxp" int2:invalidationBookmarkName="" int2:hashCode="MnhpL6YFQgrz4q" int2:id="TcZke1qa">
      <int2:state int2:value="Rejected" int2:type="AugLoop_Text_Critique"/>
    </int2:bookmark>
    <int2:bookmark int2:bookmarkName="_Int_24LzDlbo" int2:invalidationBookmarkName="" int2:hashCode="kByidkXaRxGvMx" int2:id="V2gUTDoO">
      <int2:state int2:value="Rejected" int2:type="AugLoop_Text_Critique"/>
    </int2:bookmark>
    <int2:bookmark int2:bookmarkName="_Int_EK7PFTDK" int2:invalidationBookmarkName="" int2:hashCode="gdmu6g4aQI1ltm" int2:id="VhpZGqLt">
      <int2:state int2:value="Rejected" int2:type="AugLoop_Text_Critique"/>
    </int2:bookmark>
    <int2:bookmark int2:bookmarkName="_Int_q294s0Iz" int2:invalidationBookmarkName="" int2:hashCode="FyQV8C5WLNApYg" int2:id="Ygu8RWWB">
      <int2:state int2:value="Rejected" int2:type="AugLoop_Text_Critique"/>
    </int2:bookmark>
    <int2:bookmark int2:bookmarkName="_Int_WUCoLILZ" int2:invalidationBookmarkName="" int2:hashCode="+b5JibTbjlixL6" int2:id="Z5SYRVnT">
      <int2:state int2:value="Rejected" int2:type="AugLoop_Text_Critique"/>
    </int2:bookmark>
    <int2:bookmark int2:bookmarkName="_Int_QLDDuJ12" int2:invalidationBookmarkName="" int2:hashCode="qNNaQrQan5NpQ3" int2:id="d85UwDRb">
      <int2:state int2:value="Rejected" int2:type="AugLoop_Text_Critique"/>
    </int2:bookmark>
    <int2:bookmark int2:bookmarkName="_Int_CatoxCfo" int2:invalidationBookmarkName="" int2:hashCode="uz6DPRs/4MnNfg" int2:id="dFmUTm0g">
      <int2:state int2:value="Rejected" int2:type="AugLoop_Text_Critique"/>
    </int2:bookmark>
    <int2:bookmark int2:bookmarkName="_Int_qBW3rFMx" int2:invalidationBookmarkName="" int2:hashCode="YSJy6WMREPqOIS" int2:id="iNfVg7ae">
      <int2:state int2:value="Rejected" int2:type="AugLoop_Text_Critique"/>
    </int2:bookmark>
    <int2:bookmark int2:bookmarkName="_Int_TNsYSVzP" int2:invalidationBookmarkName="" int2:hashCode="VuAQ7LS7QaWFC2" int2:id="jjIWw06i">
      <int2:state int2:value="Rejected" int2:type="AugLoop_Text_Critique"/>
    </int2:bookmark>
    <int2:bookmark int2:bookmarkName="_Int_XGQuFmap" int2:invalidationBookmarkName="" int2:hashCode="PeUh02GRVekij4" int2:id="lZxuwIpD">
      <int2:state int2:value="Rejected" int2:type="AugLoop_Text_Critique"/>
    </int2:bookmark>
    <int2:bookmark int2:bookmarkName="_Int_MzgwnPw2" int2:invalidationBookmarkName="" int2:hashCode="ggKufYHu018OyD" int2:id="n6x7w2gT">
      <int2:state int2:value="Rejected" int2:type="AugLoop_Text_Critique"/>
    </int2:bookmark>
    <int2:bookmark int2:bookmarkName="_Int_oWxs482Z" int2:invalidationBookmarkName="" int2:hashCode="BRNEJrzRdQULCB" int2:id="pykJsC9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243E"/>
    <w:multiLevelType w:val="hybridMultilevel"/>
    <w:tmpl w:val="767E2B66"/>
    <w:lvl w:ilvl="0" w:tplc="5C303726">
      <w:start w:val="1"/>
      <w:numFmt w:val="decimal"/>
      <w:lvlText w:val="%1."/>
      <w:lvlJc w:val="left"/>
      <w:pPr>
        <w:ind w:left="720" w:hanging="360"/>
      </w:pPr>
    </w:lvl>
    <w:lvl w:ilvl="1" w:tplc="2D42C960">
      <w:start w:val="1"/>
      <w:numFmt w:val="lowerLetter"/>
      <w:lvlText w:val="%2."/>
      <w:lvlJc w:val="left"/>
      <w:pPr>
        <w:ind w:left="1440" w:hanging="360"/>
      </w:pPr>
    </w:lvl>
    <w:lvl w:ilvl="2" w:tplc="F43427B4">
      <w:start w:val="1"/>
      <w:numFmt w:val="lowerRoman"/>
      <w:lvlText w:val="%3."/>
      <w:lvlJc w:val="right"/>
      <w:pPr>
        <w:ind w:left="2160" w:hanging="180"/>
      </w:pPr>
    </w:lvl>
    <w:lvl w:ilvl="3" w:tplc="7646B6CC">
      <w:start w:val="1"/>
      <w:numFmt w:val="decimal"/>
      <w:lvlText w:val="%4."/>
      <w:lvlJc w:val="left"/>
      <w:pPr>
        <w:ind w:left="2880" w:hanging="360"/>
      </w:pPr>
    </w:lvl>
    <w:lvl w:ilvl="4" w:tplc="3D4CD846">
      <w:start w:val="1"/>
      <w:numFmt w:val="lowerLetter"/>
      <w:lvlText w:val="%5."/>
      <w:lvlJc w:val="left"/>
      <w:pPr>
        <w:ind w:left="3600" w:hanging="360"/>
      </w:pPr>
    </w:lvl>
    <w:lvl w:ilvl="5" w:tplc="883274F6">
      <w:start w:val="1"/>
      <w:numFmt w:val="lowerRoman"/>
      <w:lvlText w:val="%6."/>
      <w:lvlJc w:val="right"/>
      <w:pPr>
        <w:ind w:left="4320" w:hanging="180"/>
      </w:pPr>
    </w:lvl>
    <w:lvl w:ilvl="6" w:tplc="8AE2AA28">
      <w:start w:val="1"/>
      <w:numFmt w:val="decimal"/>
      <w:lvlText w:val="%7."/>
      <w:lvlJc w:val="left"/>
      <w:pPr>
        <w:ind w:left="5040" w:hanging="360"/>
      </w:pPr>
    </w:lvl>
    <w:lvl w:ilvl="7" w:tplc="50F42BC8">
      <w:start w:val="1"/>
      <w:numFmt w:val="lowerLetter"/>
      <w:lvlText w:val="%8."/>
      <w:lvlJc w:val="left"/>
      <w:pPr>
        <w:ind w:left="5760" w:hanging="360"/>
      </w:pPr>
    </w:lvl>
    <w:lvl w:ilvl="8" w:tplc="0E6ED752">
      <w:start w:val="1"/>
      <w:numFmt w:val="lowerRoman"/>
      <w:lvlText w:val="%9."/>
      <w:lvlJc w:val="right"/>
      <w:pPr>
        <w:ind w:left="6480" w:hanging="180"/>
      </w:pPr>
    </w:lvl>
  </w:abstractNum>
  <w:abstractNum w:abstractNumId="1" w15:restartNumberingAfterBreak="0">
    <w:nsid w:val="01FC5C3E"/>
    <w:multiLevelType w:val="hybridMultilevel"/>
    <w:tmpl w:val="E0768F0C"/>
    <w:lvl w:ilvl="0" w:tplc="62C8F05C">
      <w:numFmt w:val="bullet"/>
      <w:lvlText w:val=""/>
      <w:lvlJc w:val="left"/>
      <w:pPr>
        <w:ind w:left="1864" w:hanging="360"/>
      </w:pPr>
      <w:rPr>
        <w:rFonts w:hint="default" w:ascii="Symbol" w:hAnsi="Symbol" w:eastAsia="Symbol" w:cs="Symbol"/>
        <w:w w:val="100"/>
        <w:sz w:val="22"/>
        <w:szCs w:val="22"/>
      </w:rPr>
    </w:lvl>
    <w:lvl w:ilvl="1" w:tplc="ABC2BDB6">
      <w:numFmt w:val="bullet"/>
      <w:lvlText w:val="•"/>
      <w:lvlJc w:val="left"/>
      <w:pPr>
        <w:ind w:left="2864" w:hanging="360"/>
      </w:pPr>
      <w:rPr>
        <w:rFonts w:hint="default"/>
      </w:rPr>
    </w:lvl>
    <w:lvl w:ilvl="2" w:tplc="90768982">
      <w:numFmt w:val="bullet"/>
      <w:lvlText w:val="•"/>
      <w:lvlJc w:val="left"/>
      <w:pPr>
        <w:ind w:left="3868" w:hanging="360"/>
      </w:pPr>
      <w:rPr>
        <w:rFonts w:hint="default"/>
      </w:rPr>
    </w:lvl>
    <w:lvl w:ilvl="3" w:tplc="A43AE194">
      <w:numFmt w:val="bullet"/>
      <w:lvlText w:val="•"/>
      <w:lvlJc w:val="left"/>
      <w:pPr>
        <w:ind w:left="4872" w:hanging="360"/>
      </w:pPr>
      <w:rPr>
        <w:rFonts w:hint="default"/>
      </w:rPr>
    </w:lvl>
    <w:lvl w:ilvl="4" w:tplc="90FEF5CC">
      <w:numFmt w:val="bullet"/>
      <w:lvlText w:val="•"/>
      <w:lvlJc w:val="left"/>
      <w:pPr>
        <w:ind w:left="5876" w:hanging="360"/>
      </w:pPr>
      <w:rPr>
        <w:rFonts w:hint="default"/>
      </w:rPr>
    </w:lvl>
    <w:lvl w:ilvl="5" w:tplc="1E249F84">
      <w:numFmt w:val="bullet"/>
      <w:lvlText w:val="•"/>
      <w:lvlJc w:val="left"/>
      <w:pPr>
        <w:ind w:left="6880" w:hanging="360"/>
      </w:pPr>
      <w:rPr>
        <w:rFonts w:hint="default"/>
      </w:rPr>
    </w:lvl>
    <w:lvl w:ilvl="6" w:tplc="21C87094">
      <w:numFmt w:val="bullet"/>
      <w:lvlText w:val="•"/>
      <w:lvlJc w:val="left"/>
      <w:pPr>
        <w:ind w:left="7884" w:hanging="360"/>
      </w:pPr>
      <w:rPr>
        <w:rFonts w:hint="default"/>
      </w:rPr>
    </w:lvl>
    <w:lvl w:ilvl="7" w:tplc="45180352">
      <w:numFmt w:val="bullet"/>
      <w:lvlText w:val="•"/>
      <w:lvlJc w:val="left"/>
      <w:pPr>
        <w:ind w:left="8888" w:hanging="360"/>
      </w:pPr>
      <w:rPr>
        <w:rFonts w:hint="default"/>
      </w:rPr>
    </w:lvl>
    <w:lvl w:ilvl="8" w:tplc="A5AC55BA">
      <w:numFmt w:val="bullet"/>
      <w:lvlText w:val="•"/>
      <w:lvlJc w:val="left"/>
      <w:pPr>
        <w:ind w:left="9892" w:hanging="360"/>
      </w:pPr>
      <w:rPr>
        <w:rFonts w:hint="default"/>
      </w:rPr>
    </w:lvl>
  </w:abstractNum>
  <w:abstractNum w:abstractNumId="2" w15:restartNumberingAfterBreak="0">
    <w:nsid w:val="05E42911"/>
    <w:multiLevelType w:val="hybridMultilevel"/>
    <w:tmpl w:val="773A51DC"/>
    <w:lvl w:ilvl="0" w:tplc="E708CB1C">
      <w:numFmt w:val="bullet"/>
      <w:lvlText w:val=""/>
      <w:lvlJc w:val="left"/>
      <w:pPr>
        <w:ind w:left="1864" w:hanging="360"/>
      </w:pPr>
      <w:rPr>
        <w:rFonts w:hint="default" w:ascii="Symbol" w:hAnsi="Symbol" w:eastAsia="Symbol" w:cs="Symbol"/>
        <w:w w:val="100"/>
        <w:sz w:val="22"/>
        <w:szCs w:val="22"/>
      </w:rPr>
    </w:lvl>
    <w:lvl w:ilvl="1" w:tplc="7214EC92">
      <w:numFmt w:val="bullet"/>
      <w:lvlText w:val="•"/>
      <w:lvlJc w:val="left"/>
      <w:pPr>
        <w:ind w:left="2864" w:hanging="360"/>
      </w:pPr>
      <w:rPr>
        <w:rFonts w:hint="default"/>
      </w:rPr>
    </w:lvl>
    <w:lvl w:ilvl="2" w:tplc="43FC7060">
      <w:numFmt w:val="bullet"/>
      <w:lvlText w:val="•"/>
      <w:lvlJc w:val="left"/>
      <w:pPr>
        <w:ind w:left="3868" w:hanging="360"/>
      </w:pPr>
      <w:rPr>
        <w:rFonts w:hint="default"/>
      </w:rPr>
    </w:lvl>
    <w:lvl w:ilvl="3" w:tplc="B24EEE84">
      <w:numFmt w:val="bullet"/>
      <w:lvlText w:val="•"/>
      <w:lvlJc w:val="left"/>
      <w:pPr>
        <w:ind w:left="4872" w:hanging="360"/>
      </w:pPr>
      <w:rPr>
        <w:rFonts w:hint="default"/>
      </w:rPr>
    </w:lvl>
    <w:lvl w:ilvl="4" w:tplc="E752E46C">
      <w:numFmt w:val="bullet"/>
      <w:lvlText w:val="•"/>
      <w:lvlJc w:val="left"/>
      <w:pPr>
        <w:ind w:left="5876" w:hanging="360"/>
      </w:pPr>
      <w:rPr>
        <w:rFonts w:hint="default"/>
      </w:rPr>
    </w:lvl>
    <w:lvl w:ilvl="5" w:tplc="930E2A28">
      <w:numFmt w:val="bullet"/>
      <w:lvlText w:val="•"/>
      <w:lvlJc w:val="left"/>
      <w:pPr>
        <w:ind w:left="6880" w:hanging="360"/>
      </w:pPr>
      <w:rPr>
        <w:rFonts w:hint="default"/>
      </w:rPr>
    </w:lvl>
    <w:lvl w:ilvl="6" w:tplc="AA5889E2">
      <w:numFmt w:val="bullet"/>
      <w:lvlText w:val="•"/>
      <w:lvlJc w:val="left"/>
      <w:pPr>
        <w:ind w:left="7884" w:hanging="360"/>
      </w:pPr>
      <w:rPr>
        <w:rFonts w:hint="default"/>
      </w:rPr>
    </w:lvl>
    <w:lvl w:ilvl="7" w:tplc="334E8A2C">
      <w:numFmt w:val="bullet"/>
      <w:lvlText w:val="•"/>
      <w:lvlJc w:val="left"/>
      <w:pPr>
        <w:ind w:left="8888" w:hanging="360"/>
      </w:pPr>
      <w:rPr>
        <w:rFonts w:hint="default"/>
      </w:rPr>
    </w:lvl>
    <w:lvl w:ilvl="8" w:tplc="3800CA44">
      <w:numFmt w:val="bullet"/>
      <w:lvlText w:val="•"/>
      <w:lvlJc w:val="left"/>
      <w:pPr>
        <w:ind w:left="9892" w:hanging="360"/>
      </w:pPr>
      <w:rPr>
        <w:rFonts w:hint="default"/>
      </w:rPr>
    </w:lvl>
  </w:abstractNum>
  <w:abstractNum w:abstractNumId="3" w15:restartNumberingAfterBreak="0">
    <w:nsid w:val="0AE94614"/>
    <w:multiLevelType w:val="hybridMultilevel"/>
    <w:tmpl w:val="EB0A6E78"/>
    <w:lvl w:ilvl="0" w:tplc="908A9202">
      <w:start w:val="1"/>
      <w:numFmt w:val="lowerLetter"/>
      <w:lvlText w:val="%1."/>
      <w:lvlJc w:val="left"/>
      <w:pPr>
        <w:ind w:left="720" w:hanging="360"/>
      </w:pPr>
    </w:lvl>
    <w:lvl w:ilvl="1" w:tplc="D1948FBA">
      <w:start w:val="1"/>
      <w:numFmt w:val="lowerLetter"/>
      <w:lvlText w:val="%2."/>
      <w:lvlJc w:val="left"/>
      <w:pPr>
        <w:ind w:left="1440" w:hanging="360"/>
      </w:pPr>
    </w:lvl>
    <w:lvl w:ilvl="2" w:tplc="7722F470">
      <w:start w:val="1"/>
      <w:numFmt w:val="lowerRoman"/>
      <w:lvlText w:val="%3."/>
      <w:lvlJc w:val="right"/>
      <w:pPr>
        <w:ind w:left="2160" w:hanging="180"/>
      </w:pPr>
    </w:lvl>
    <w:lvl w:ilvl="3" w:tplc="F7D08008">
      <w:start w:val="1"/>
      <w:numFmt w:val="decimal"/>
      <w:lvlText w:val="%4."/>
      <w:lvlJc w:val="left"/>
      <w:pPr>
        <w:ind w:left="2880" w:hanging="360"/>
      </w:pPr>
    </w:lvl>
    <w:lvl w:ilvl="4" w:tplc="2BD00E28">
      <w:start w:val="1"/>
      <w:numFmt w:val="lowerLetter"/>
      <w:lvlText w:val="%5."/>
      <w:lvlJc w:val="left"/>
      <w:pPr>
        <w:ind w:left="3600" w:hanging="360"/>
      </w:pPr>
    </w:lvl>
    <w:lvl w:ilvl="5" w:tplc="89CAB554">
      <w:start w:val="1"/>
      <w:numFmt w:val="lowerRoman"/>
      <w:lvlText w:val="%6."/>
      <w:lvlJc w:val="right"/>
      <w:pPr>
        <w:ind w:left="4320" w:hanging="180"/>
      </w:pPr>
    </w:lvl>
    <w:lvl w:ilvl="6" w:tplc="F07090E4">
      <w:start w:val="1"/>
      <w:numFmt w:val="decimal"/>
      <w:lvlText w:val="%7."/>
      <w:lvlJc w:val="left"/>
      <w:pPr>
        <w:ind w:left="5040" w:hanging="360"/>
      </w:pPr>
    </w:lvl>
    <w:lvl w:ilvl="7" w:tplc="13FC1558">
      <w:start w:val="1"/>
      <w:numFmt w:val="lowerLetter"/>
      <w:lvlText w:val="%8."/>
      <w:lvlJc w:val="left"/>
      <w:pPr>
        <w:ind w:left="5760" w:hanging="360"/>
      </w:pPr>
    </w:lvl>
    <w:lvl w:ilvl="8" w:tplc="564C2D6A">
      <w:start w:val="1"/>
      <w:numFmt w:val="lowerRoman"/>
      <w:lvlText w:val="%9."/>
      <w:lvlJc w:val="right"/>
      <w:pPr>
        <w:ind w:left="6480" w:hanging="180"/>
      </w:pPr>
    </w:lvl>
  </w:abstractNum>
  <w:abstractNum w:abstractNumId="4" w15:restartNumberingAfterBreak="0">
    <w:nsid w:val="0E8075C1"/>
    <w:multiLevelType w:val="hybridMultilevel"/>
    <w:tmpl w:val="583C73D8"/>
    <w:lvl w:ilvl="0" w:tplc="ACD0319E">
      <w:numFmt w:val="bullet"/>
      <w:lvlText w:val=""/>
      <w:lvlJc w:val="left"/>
      <w:pPr>
        <w:ind w:left="1864" w:hanging="360"/>
      </w:pPr>
      <w:rPr>
        <w:rFonts w:hint="default" w:ascii="Symbol" w:hAnsi="Symbol" w:eastAsia="Symbol" w:cs="Symbol"/>
        <w:w w:val="100"/>
        <w:sz w:val="22"/>
        <w:szCs w:val="22"/>
      </w:rPr>
    </w:lvl>
    <w:lvl w:ilvl="1" w:tplc="E808294A">
      <w:numFmt w:val="bullet"/>
      <w:lvlText w:val="o"/>
      <w:lvlJc w:val="left"/>
      <w:pPr>
        <w:ind w:left="2584" w:hanging="360"/>
      </w:pPr>
      <w:rPr>
        <w:rFonts w:hint="default" w:ascii="Courier New" w:hAnsi="Courier New" w:eastAsia="Courier New" w:cs="Courier New"/>
        <w:w w:val="100"/>
        <w:sz w:val="22"/>
        <w:szCs w:val="22"/>
      </w:rPr>
    </w:lvl>
    <w:lvl w:ilvl="2" w:tplc="779641C8">
      <w:numFmt w:val="bullet"/>
      <w:lvlText w:val="•"/>
      <w:lvlJc w:val="left"/>
      <w:pPr>
        <w:ind w:left="3615" w:hanging="360"/>
      </w:pPr>
      <w:rPr>
        <w:rFonts w:hint="default"/>
      </w:rPr>
    </w:lvl>
    <w:lvl w:ilvl="3" w:tplc="07BAD704">
      <w:numFmt w:val="bullet"/>
      <w:lvlText w:val="•"/>
      <w:lvlJc w:val="left"/>
      <w:pPr>
        <w:ind w:left="4651" w:hanging="360"/>
      </w:pPr>
      <w:rPr>
        <w:rFonts w:hint="default"/>
      </w:rPr>
    </w:lvl>
    <w:lvl w:ilvl="4" w:tplc="55FAB7F4">
      <w:numFmt w:val="bullet"/>
      <w:lvlText w:val="•"/>
      <w:lvlJc w:val="left"/>
      <w:pPr>
        <w:ind w:left="5686" w:hanging="360"/>
      </w:pPr>
      <w:rPr>
        <w:rFonts w:hint="default"/>
      </w:rPr>
    </w:lvl>
    <w:lvl w:ilvl="5" w:tplc="79E6C89C">
      <w:numFmt w:val="bullet"/>
      <w:lvlText w:val="•"/>
      <w:lvlJc w:val="left"/>
      <w:pPr>
        <w:ind w:left="6722" w:hanging="360"/>
      </w:pPr>
      <w:rPr>
        <w:rFonts w:hint="default"/>
      </w:rPr>
    </w:lvl>
    <w:lvl w:ilvl="6" w:tplc="8618BFCE">
      <w:numFmt w:val="bullet"/>
      <w:lvlText w:val="•"/>
      <w:lvlJc w:val="left"/>
      <w:pPr>
        <w:ind w:left="7757" w:hanging="360"/>
      </w:pPr>
      <w:rPr>
        <w:rFonts w:hint="default"/>
      </w:rPr>
    </w:lvl>
    <w:lvl w:ilvl="7" w:tplc="BAA83C54">
      <w:numFmt w:val="bullet"/>
      <w:lvlText w:val="•"/>
      <w:lvlJc w:val="left"/>
      <w:pPr>
        <w:ind w:left="8793" w:hanging="360"/>
      </w:pPr>
      <w:rPr>
        <w:rFonts w:hint="default"/>
      </w:rPr>
    </w:lvl>
    <w:lvl w:ilvl="8" w:tplc="EFC64750">
      <w:numFmt w:val="bullet"/>
      <w:lvlText w:val="•"/>
      <w:lvlJc w:val="left"/>
      <w:pPr>
        <w:ind w:left="9828" w:hanging="360"/>
      </w:pPr>
      <w:rPr>
        <w:rFonts w:hint="default"/>
      </w:rPr>
    </w:lvl>
  </w:abstractNum>
  <w:abstractNum w:abstractNumId="5" w15:restartNumberingAfterBreak="0">
    <w:nsid w:val="117D0B41"/>
    <w:multiLevelType w:val="hybridMultilevel"/>
    <w:tmpl w:val="D98A0066"/>
    <w:lvl w:ilvl="0" w:tplc="8F3469C8">
      <w:numFmt w:val="bullet"/>
      <w:lvlText w:val=""/>
      <w:lvlJc w:val="left"/>
      <w:pPr>
        <w:ind w:left="1864" w:hanging="360"/>
      </w:pPr>
      <w:rPr>
        <w:rFonts w:hint="default" w:ascii="Symbol" w:hAnsi="Symbol" w:eastAsia="Symbol" w:cs="Symbol"/>
        <w:w w:val="100"/>
        <w:sz w:val="22"/>
        <w:szCs w:val="22"/>
      </w:rPr>
    </w:lvl>
    <w:lvl w:ilvl="1" w:tplc="B5167E68">
      <w:numFmt w:val="bullet"/>
      <w:lvlText w:val="•"/>
      <w:lvlJc w:val="left"/>
      <w:pPr>
        <w:ind w:left="2864" w:hanging="360"/>
      </w:pPr>
      <w:rPr>
        <w:rFonts w:hint="default"/>
      </w:rPr>
    </w:lvl>
    <w:lvl w:ilvl="2" w:tplc="E4A42D1C">
      <w:numFmt w:val="bullet"/>
      <w:lvlText w:val="•"/>
      <w:lvlJc w:val="left"/>
      <w:pPr>
        <w:ind w:left="3868" w:hanging="360"/>
      </w:pPr>
      <w:rPr>
        <w:rFonts w:hint="default"/>
      </w:rPr>
    </w:lvl>
    <w:lvl w:ilvl="3" w:tplc="07B275EA">
      <w:numFmt w:val="bullet"/>
      <w:lvlText w:val="•"/>
      <w:lvlJc w:val="left"/>
      <w:pPr>
        <w:ind w:left="4872" w:hanging="360"/>
      </w:pPr>
      <w:rPr>
        <w:rFonts w:hint="default"/>
      </w:rPr>
    </w:lvl>
    <w:lvl w:ilvl="4" w:tplc="06146D64">
      <w:numFmt w:val="bullet"/>
      <w:lvlText w:val="•"/>
      <w:lvlJc w:val="left"/>
      <w:pPr>
        <w:ind w:left="5876" w:hanging="360"/>
      </w:pPr>
      <w:rPr>
        <w:rFonts w:hint="default"/>
      </w:rPr>
    </w:lvl>
    <w:lvl w:ilvl="5" w:tplc="1B68AD0A">
      <w:numFmt w:val="bullet"/>
      <w:lvlText w:val="•"/>
      <w:lvlJc w:val="left"/>
      <w:pPr>
        <w:ind w:left="6880" w:hanging="360"/>
      </w:pPr>
      <w:rPr>
        <w:rFonts w:hint="default"/>
      </w:rPr>
    </w:lvl>
    <w:lvl w:ilvl="6" w:tplc="F0F0CBCC">
      <w:numFmt w:val="bullet"/>
      <w:lvlText w:val="•"/>
      <w:lvlJc w:val="left"/>
      <w:pPr>
        <w:ind w:left="7884" w:hanging="360"/>
      </w:pPr>
      <w:rPr>
        <w:rFonts w:hint="default"/>
      </w:rPr>
    </w:lvl>
    <w:lvl w:ilvl="7" w:tplc="E66421B8">
      <w:numFmt w:val="bullet"/>
      <w:lvlText w:val="•"/>
      <w:lvlJc w:val="left"/>
      <w:pPr>
        <w:ind w:left="8888" w:hanging="360"/>
      </w:pPr>
      <w:rPr>
        <w:rFonts w:hint="default"/>
      </w:rPr>
    </w:lvl>
    <w:lvl w:ilvl="8" w:tplc="1C1E2C34">
      <w:numFmt w:val="bullet"/>
      <w:lvlText w:val="•"/>
      <w:lvlJc w:val="left"/>
      <w:pPr>
        <w:ind w:left="9892" w:hanging="360"/>
      </w:pPr>
      <w:rPr>
        <w:rFonts w:hint="default"/>
      </w:rPr>
    </w:lvl>
  </w:abstractNum>
  <w:abstractNum w:abstractNumId="6" w15:restartNumberingAfterBreak="0">
    <w:nsid w:val="1E24004D"/>
    <w:multiLevelType w:val="multilevel"/>
    <w:tmpl w:val="506226E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F6C17"/>
    <w:multiLevelType w:val="hybridMultilevel"/>
    <w:tmpl w:val="0BC6FC3A"/>
    <w:lvl w:ilvl="0" w:tplc="DFC8A348">
      <w:numFmt w:val="bullet"/>
      <w:lvlText w:val=""/>
      <w:lvlJc w:val="left"/>
      <w:pPr>
        <w:ind w:left="1864" w:hanging="360"/>
      </w:pPr>
      <w:rPr>
        <w:rFonts w:hint="default" w:ascii="Symbol" w:hAnsi="Symbol" w:eastAsia="Symbol" w:cs="Symbol"/>
        <w:w w:val="100"/>
        <w:sz w:val="22"/>
        <w:szCs w:val="22"/>
      </w:rPr>
    </w:lvl>
    <w:lvl w:ilvl="1" w:tplc="A27CDFAE">
      <w:numFmt w:val="bullet"/>
      <w:lvlText w:val="•"/>
      <w:lvlJc w:val="left"/>
      <w:pPr>
        <w:ind w:left="2864" w:hanging="360"/>
      </w:pPr>
      <w:rPr>
        <w:rFonts w:hint="default"/>
      </w:rPr>
    </w:lvl>
    <w:lvl w:ilvl="2" w:tplc="C02E2590">
      <w:numFmt w:val="bullet"/>
      <w:lvlText w:val="•"/>
      <w:lvlJc w:val="left"/>
      <w:pPr>
        <w:ind w:left="3868" w:hanging="360"/>
      </w:pPr>
      <w:rPr>
        <w:rFonts w:hint="default"/>
      </w:rPr>
    </w:lvl>
    <w:lvl w:ilvl="3" w:tplc="83E8FD76">
      <w:numFmt w:val="bullet"/>
      <w:lvlText w:val="•"/>
      <w:lvlJc w:val="left"/>
      <w:pPr>
        <w:ind w:left="4872" w:hanging="360"/>
      </w:pPr>
      <w:rPr>
        <w:rFonts w:hint="default"/>
      </w:rPr>
    </w:lvl>
    <w:lvl w:ilvl="4" w:tplc="1E3677E2">
      <w:numFmt w:val="bullet"/>
      <w:lvlText w:val="•"/>
      <w:lvlJc w:val="left"/>
      <w:pPr>
        <w:ind w:left="5876" w:hanging="360"/>
      </w:pPr>
      <w:rPr>
        <w:rFonts w:hint="default"/>
      </w:rPr>
    </w:lvl>
    <w:lvl w:ilvl="5" w:tplc="761A6724">
      <w:numFmt w:val="bullet"/>
      <w:lvlText w:val="•"/>
      <w:lvlJc w:val="left"/>
      <w:pPr>
        <w:ind w:left="6880" w:hanging="360"/>
      </w:pPr>
      <w:rPr>
        <w:rFonts w:hint="default"/>
      </w:rPr>
    </w:lvl>
    <w:lvl w:ilvl="6" w:tplc="561870C4">
      <w:numFmt w:val="bullet"/>
      <w:lvlText w:val="•"/>
      <w:lvlJc w:val="left"/>
      <w:pPr>
        <w:ind w:left="7884" w:hanging="360"/>
      </w:pPr>
      <w:rPr>
        <w:rFonts w:hint="default"/>
      </w:rPr>
    </w:lvl>
    <w:lvl w:ilvl="7" w:tplc="6E3A0628">
      <w:numFmt w:val="bullet"/>
      <w:lvlText w:val="•"/>
      <w:lvlJc w:val="left"/>
      <w:pPr>
        <w:ind w:left="8888" w:hanging="360"/>
      </w:pPr>
      <w:rPr>
        <w:rFonts w:hint="default"/>
      </w:rPr>
    </w:lvl>
    <w:lvl w:ilvl="8" w:tplc="66A6808A">
      <w:numFmt w:val="bullet"/>
      <w:lvlText w:val="•"/>
      <w:lvlJc w:val="left"/>
      <w:pPr>
        <w:ind w:left="9892" w:hanging="360"/>
      </w:pPr>
      <w:rPr>
        <w:rFonts w:hint="default"/>
      </w:rPr>
    </w:lvl>
  </w:abstractNum>
  <w:abstractNum w:abstractNumId="8" w15:restartNumberingAfterBreak="0">
    <w:nsid w:val="23D55370"/>
    <w:multiLevelType w:val="multilevel"/>
    <w:tmpl w:val="38080FA6"/>
    <w:lvl w:ilvl="0">
      <w:start w:val="2"/>
      <w:numFmt w:val="decimal"/>
      <w:lvlText w:val="%1"/>
      <w:lvlJc w:val="left"/>
      <w:pPr>
        <w:ind w:left="1617" w:hanging="473"/>
      </w:pPr>
      <w:rPr>
        <w:rFonts w:hint="default"/>
      </w:rPr>
    </w:lvl>
    <w:lvl w:ilvl="1">
      <w:start w:val="2"/>
      <w:numFmt w:val="decimal"/>
      <w:lvlText w:val="%1.%2."/>
      <w:lvlJc w:val="left"/>
      <w:pPr>
        <w:ind w:left="1617" w:hanging="473"/>
      </w:pPr>
      <w:rPr>
        <w:rFonts w:hint="default" w:ascii="VIC" w:hAnsi="VIC" w:eastAsia="VIC" w:cs="VIC"/>
        <w:color w:val="217F4B"/>
        <w:w w:val="99"/>
        <w:sz w:val="28"/>
        <w:szCs w:val="28"/>
      </w:rPr>
    </w:lvl>
    <w:lvl w:ilvl="2">
      <w:numFmt w:val="bullet"/>
      <w:lvlText w:val="•"/>
      <w:lvlJc w:val="left"/>
      <w:pPr>
        <w:ind w:left="3676" w:hanging="473"/>
      </w:pPr>
      <w:rPr>
        <w:rFonts w:hint="default"/>
      </w:rPr>
    </w:lvl>
    <w:lvl w:ilvl="3">
      <w:numFmt w:val="bullet"/>
      <w:lvlText w:val="•"/>
      <w:lvlJc w:val="left"/>
      <w:pPr>
        <w:ind w:left="4704" w:hanging="473"/>
      </w:pPr>
      <w:rPr>
        <w:rFonts w:hint="default"/>
      </w:rPr>
    </w:lvl>
    <w:lvl w:ilvl="4">
      <w:numFmt w:val="bullet"/>
      <w:lvlText w:val="•"/>
      <w:lvlJc w:val="left"/>
      <w:pPr>
        <w:ind w:left="5732" w:hanging="473"/>
      </w:pPr>
      <w:rPr>
        <w:rFonts w:hint="default"/>
      </w:rPr>
    </w:lvl>
    <w:lvl w:ilvl="5">
      <w:numFmt w:val="bullet"/>
      <w:lvlText w:val="•"/>
      <w:lvlJc w:val="left"/>
      <w:pPr>
        <w:ind w:left="6760" w:hanging="473"/>
      </w:pPr>
      <w:rPr>
        <w:rFonts w:hint="default"/>
      </w:rPr>
    </w:lvl>
    <w:lvl w:ilvl="6">
      <w:numFmt w:val="bullet"/>
      <w:lvlText w:val="•"/>
      <w:lvlJc w:val="left"/>
      <w:pPr>
        <w:ind w:left="7788" w:hanging="473"/>
      </w:pPr>
      <w:rPr>
        <w:rFonts w:hint="default"/>
      </w:rPr>
    </w:lvl>
    <w:lvl w:ilvl="7">
      <w:numFmt w:val="bullet"/>
      <w:lvlText w:val="•"/>
      <w:lvlJc w:val="left"/>
      <w:pPr>
        <w:ind w:left="8816" w:hanging="473"/>
      </w:pPr>
      <w:rPr>
        <w:rFonts w:hint="default"/>
      </w:rPr>
    </w:lvl>
    <w:lvl w:ilvl="8">
      <w:numFmt w:val="bullet"/>
      <w:lvlText w:val="•"/>
      <w:lvlJc w:val="left"/>
      <w:pPr>
        <w:ind w:left="9844" w:hanging="473"/>
      </w:pPr>
      <w:rPr>
        <w:rFonts w:hint="default"/>
      </w:rPr>
    </w:lvl>
  </w:abstractNum>
  <w:abstractNum w:abstractNumId="9" w15:restartNumberingAfterBreak="0">
    <w:nsid w:val="25304B63"/>
    <w:multiLevelType w:val="hybridMultilevel"/>
    <w:tmpl w:val="CBAC1990"/>
    <w:lvl w:ilvl="0" w:tplc="2B0011B2">
      <w:numFmt w:val="bullet"/>
      <w:lvlText w:val=""/>
      <w:lvlJc w:val="left"/>
      <w:pPr>
        <w:ind w:left="1864" w:hanging="360"/>
      </w:pPr>
      <w:rPr>
        <w:rFonts w:hint="default" w:ascii="Symbol" w:hAnsi="Symbol" w:eastAsia="Symbol" w:cs="Symbol"/>
        <w:w w:val="100"/>
        <w:sz w:val="22"/>
        <w:szCs w:val="22"/>
      </w:rPr>
    </w:lvl>
    <w:lvl w:ilvl="1" w:tplc="229070C4">
      <w:numFmt w:val="bullet"/>
      <w:lvlText w:val="•"/>
      <w:lvlJc w:val="left"/>
      <w:pPr>
        <w:ind w:left="2864" w:hanging="360"/>
      </w:pPr>
      <w:rPr>
        <w:rFonts w:hint="default"/>
      </w:rPr>
    </w:lvl>
    <w:lvl w:ilvl="2" w:tplc="8A626A06">
      <w:numFmt w:val="bullet"/>
      <w:lvlText w:val="•"/>
      <w:lvlJc w:val="left"/>
      <w:pPr>
        <w:ind w:left="3868" w:hanging="360"/>
      </w:pPr>
      <w:rPr>
        <w:rFonts w:hint="default"/>
      </w:rPr>
    </w:lvl>
    <w:lvl w:ilvl="3" w:tplc="D02EF4C8">
      <w:numFmt w:val="bullet"/>
      <w:lvlText w:val="•"/>
      <w:lvlJc w:val="left"/>
      <w:pPr>
        <w:ind w:left="4872" w:hanging="360"/>
      </w:pPr>
      <w:rPr>
        <w:rFonts w:hint="default"/>
      </w:rPr>
    </w:lvl>
    <w:lvl w:ilvl="4" w:tplc="33F0E0A2">
      <w:numFmt w:val="bullet"/>
      <w:lvlText w:val="•"/>
      <w:lvlJc w:val="left"/>
      <w:pPr>
        <w:ind w:left="5876" w:hanging="360"/>
      </w:pPr>
      <w:rPr>
        <w:rFonts w:hint="default"/>
      </w:rPr>
    </w:lvl>
    <w:lvl w:ilvl="5" w:tplc="2696B4D4">
      <w:numFmt w:val="bullet"/>
      <w:lvlText w:val="•"/>
      <w:lvlJc w:val="left"/>
      <w:pPr>
        <w:ind w:left="6880" w:hanging="360"/>
      </w:pPr>
      <w:rPr>
        <w:rFonts w:hint="default"/>
      </w:rPr>
    </w:lvl>
    <w:lvl w:ilvl="6" w:tplc="ACCA44AA">
      <w:numFmt w:val="bullet"/>
      <w:lvlText w:val="•"/>
      <w:lvlJc w:val="left"/>
      <w:pPr>
        <w:ind w:left="7884" w:hanging="360"/>
      </w:pPr>
      <w:rPr>
        <w:rFonts w:hint="default"/>
      </w:rPr>
    </w:lvl>
    <w:lvl w:ilvl="7" w:tplc="96328864">
      <w:numFmt w:val="bullet"/>
      <w:lvlText w:val="•"/>
      <w:lvlJc w:val="left"/>
      <w:pPr>
        <w:ind w:left="8888" w:hanging="360"/>
      </w:pPr>
      <w:rPr>
        <w:rFonts w:hint="default"/>
      </w:rPr>
    </w:lvl>
    <w:lvl w:ilvl="8" w:tplc="0AA22F8E">
      <w:numFmt w:val="bullet"/>
      <w:lvlText w:val="•"/>
      <w:lvlJc w:val="left"/>
      <w:pPr>
        <w:ind w:left="9892" w:hanging="360"/>
      </w:pPr>
      <w:rPr>
        <w:rFonts w:hint="default"/>
      </w:rPr>
    </w:lvl>
  </w:abstractNum>
  <w:abstractNum w:abstractNumId="10" w15:restartNumberingAfterBreak="0">
    <w:nsid w:val="2DA95F74"/>
    <w:multiLevelType w:val="multilevel"/>
    <w:tmpl w:val="B56469F8"/>
    <w:lvl w:ilvl="0">
      <w:start w:val="1"/>
      <w:numFmt w:val="decimal"/>
      <w:lvlText w:val="%1."/>
      <w:lvlJc w:val="left"/>
      <w:pPr>
        <w:ind w:left="1504" w:hanging="360"/>
      </w:pPr>
      <w:rPr>
        <w:rFonts w:hint="default" w:ascii="VIC" w:hAnsi="VIC" w:eastAsia="VIC" w:cs="VIC"/>
        <w:i w:val="0"/>
        <w:iCs/>
        <w:spacing w:val="-1"/>
        <w:w w:val="100"/>
        <w:sz w:val="22"/>
        <w:szCs w:val="22"/>
      </w:rPr>
    </w:lvl>
    <w:lvl w:ilvl="1">
      <w:start w:val="1"/>
      <w:numFmt w:val="lowerLetter"/>
      <w:lvlText w:val="%2."/>
      <w:lvlJc w:val="left"/>
      <w:pPr>
        <w:ind w:left="1864" w:hanging="360"/>
      </w:pPr>
      <w:rPr>
        <w:rFonts w:hint="default" w:ascii="VIC" w:hAnsi="VIC" w:eastAsia="VIC" w:cs="VIC"/>
        <w:spacing w:val="-1"/>
        <w:w w:val="100"/>
        <w:sz w:val="22"/>
        <w:szCs w:val="22"/>
      </w:rPr>
    </w:lvl>
    <w:lvl w:ilvl="2">
      <w:start w:val="1"/>
      <w:numFmt w:val="lowerRoman"/>
      <w:lvlText w:val="%3"/>
      <w:lvlJc w:val="left"/>
      <w:pPr>
        <w:ind w:left="2975" w:hanging="360"/>
      </w:pPr>
      <w:rPr>
        <w:rFonts w:hint="default"/>
      </w:rPr>
    </w:lvl>
    <w:lvl w:ilvl="3">
      <w:numFmt w:val="bullet"/>
      <w:lvlText w:val="•"/>
      <w:lvlJc w:val="left"/>
      <w:pPr>
        <w:ind w:left="4091" w:hanging="360"/>
      </w:pPr>
      <w:rPr>
        <w:rFonts w:hint="default"/>
      </w:rPr>
    </w:lvl>
    <w:lvl w:ilvl="4">
      <w:numFmt w:val="bullet"/>
      <w:lvlText w:val="•"/>
      <w:lvlJc w:val="left"/>
      <w:pPr>
        <w:ind w:left="5206" w:hanging="360"/>
      </w:pPr>
      <w:rPr>
        <w:rFonts w:hint="default"/>
      </w:rPr>
    </w:lvl>
    <w:lvl w:ilvl="5">
      <w:numFmt w:val="bullet"/>
      <w:lvlText w:val="•"/>
      <w:lvlJc w:val="left"/>
      <w:pPr>
        <w:ind w:left="6322" w:hanging="360"/>
      </w:pPr>
      <w:rPr>
        <w:rFonts w:hint="default"/>
      </w:rPr>
    </w:lvl>
    <w:lvl w:ilvl="6">
      <w:numFmt w:val="bullet"/>
      <w:lvlText w:val="•"/>
      <w:lvlJc w:val="left"/>
      <w:pPr>
        <w:ind w:left="7437" w:hanging="360"/>
      </w:pPr>
      <w:rPr>
        <w:rFonts w:hint="default"/>
      </w:rPr>
    </w:lvl>
    <w:lvl w:ilvl="7">
      <w:numFmt w:val="bullet"/>
      <w:lvlText w:val="•"/>
      <w:lvlJc w:val="left"/>
      <w:pPr>
        <w:ind w:left="8553" w:hanging="360"/>
      </w:pPr>
      <w:rPr>
        <w:rFonts w:hint="default"/>
      </w:rPr>
    </w:lvl>
    <w:lvl w:ilvl="8">
      <w:numFmt w:val="bullet"/>
      <w:lvlText w:val="•"/>
      <w:lvlJc w:val="left"/>
      <w:pPr>
        <w:ind w:left="9668" w:hanging="360"/>
      </w:pPr>
      <w:rPr>
        <w:rFonts w:hint="default"/>
      </w:rPr>
    </w:lvl>
  </w:abstractNum>
  <w:abstractNum w:abstractNumId="11" w15:restartNumberingAfterBreak="0">
    <w:nsid w:val="3B30535D"/>
    <w:multiLevelType w:val="hybridMultilevel"/>
    <w:tmpl w:val="A5AC4192"/>
    <w:lvl w:ilvl="0" w:tplc="D2105838">
      <w:numFmt w:val="bullet"/>
      <w:lvlText w:val=""/>
      <w:lvlJc w:val="left"/>
      <w:pPr>
        <w:ind w:left="1864" w:hanging="360"/>
      </w:pPr>
      <w:rPr>
        <w:rFonts w:hint="default" w:ascii="Symbol" w:hAnsi="Symbol" w:eastAsia="Symbol" w:cs="Symbol"/>
        <w:w w:val="100"/>
        <w:sz w:val="22"/>
        <w:szCs w:val="22"/>
      </w:rPr>
    </w:lvl>
    <w:lvl w:ilvl="1" w:tplc="E72AD940">
      <w:numFmt w:val="bullet"/>
      <w:lvlText w:val="•"/>
      <w:lvlJc w:val="left"/>
      <w:pPr>
        <w:ind w:left="2864" w:hanging="360"/>
      </w:pPr>
      <w:rPr>
        <w:rFonts w:hint="default"/>
      </w:rPr>
    </w:lvl>
    <w:lvl w:ilvl="2" w:tplc="2FE4C122">
      <w:numFmt w:val="bullet"/>
      <w:lvlText w:val="•"/>
      <w:lvlJc w:val="left"/>
      <w:pPr>
        <w:ind w:left="3868" w:hanging="360"/>
      </w:pPr>
      <w:rPr>
        <w:rFonts w:hint="default"/>
      </w:rPr>
    </w:lvl>
    <w:lvl w:ilvl="3" w:tplc="B9A450A0">
      <w:numFmt w:val="bullet"/>
      <w:lvlText w:val="•"/>
      <w:lvlJc w:val="left"/>
      <w:pPr>
        <w:ind w:left="4872" w:hanging="360"/>
      </w:pPr>
      <w:rPr>
        <w:rFonts w:hint="default"/>
      </w:rPr>
    </w:lvl>
    <w:lvl w:ilvl="4" w:tplc="972AA4A4">
      <w:numFmt w:val="bullet"/>
      <w:lvlText w:val="•"/>
      <w:lvlJc w:val="left"/>
      <w:pPr>
        <w:ind w:left="5876" w:hanging="360"/>
      </w:pPr>
      <w:rPr>
        <w:rFonts w:hint="default"/>
      </w:rPr>
    </w:lvl>
    <w:lvl w:ilvl="5" w:tplc="A950E516">
      <w:numFmt w:val="bullet"/>
      <w:lvlText w:val="•"/>
      <w:lvlJc w:val="left"/>
      <w:pPr>
        <w:ind w:left="6880" w:hanging="360"/>
      </w:pPr>
      <w:rPr>
        <w:rFonts w:hint="default"/>
      </w:rPr>
    </w:lvl>
    <w:lvl w:ilvl="6" w:tplc="0B12F994">
      <w:numFmt w:val="bullet"/>
      <w:lvlText w:val="•"/>
      <w:lvlJc w:val="left"/>
      <w:pPr>
        <w:ind w:left="7884" w:hanging="360"/>
      </w:pPr>
      <w:rPr>
        <w:rFonts w:hint="default"/>
      </w:rPr>
    </w:lvl>
    <w:lvl w:ilvl="7" w:tplc="312CAD94">
      <w:numFmt w:val="bullet"/>
      <w:lvlText w:val="•"/>
      <w:lvlJc w:val="left"/>
      <w:pPr>
        <w:ind w:left="8888" w:hanging="360"/>
      </w:pPr>
      <w:rPr>
        <w:rFonts w:hint="default"/>
      </w:rPr>
    </w:lvl>
    <w:lvl w:ilvl="8" w:tplc="A810DF04">
      <w:numFmt w:val="bullet"/>
      <w:lvlText w:val="•"/>
      <w:lvlJc w:val="left"/>
      <w:pPr>
        <w:ind w:left="9892" w:hanging="360"/>
      </w:pPr>
      <w:rPr>
        <w:rFonts w:hint="default"/>
      </w:rPr>
    </w:lvl>
  </w:abstractNum>
  <w:abstractNum w:abstractNumId="12" w15:restartNumberingAfterBreak="0">
    <w:nsid w:val="601C55A2"/>
    <w:multiLevelType w:val="multilevel"/>
    <w:tmpl w:val="BFE41BA4"/>
    <w:lvl w:ilvl="0">
      <w:start w:val="2"/>
      <w:numFmt w:val="decimal"/>
      <w:lvlText w:val="%1"/>
      <w:lvlJc w:val="left"/>
      <w:pPr>
        <w:ind w:left="1589" w:hanging="446"/>
      </w:pPr>
      <w:rPr>
        <w:rFonts w:hint="default"/>
      </w:rPr>
    </w:lvl>
    <w:lvl w:ilvl="1">
      <w:start w:val="4"/>
      <w:numFmt w:val="decimal"/>
      <w:lvlText w:val="%1.%2"/>
      <w:lvlJc w:val="left"/>
      <w:pPr>
        <w:ind w:left="1589" w:hanging="446"/>
      </w:pPr>
      <w:rPr>
        <w:rFonts w:hint="default" w:ascii="VIC" w:hAnsi="VIC" w:eastAsia="VIC" w:cs="VIC"/>
        <w:color w:val="217F4B"/>
        <w:w w:val="99"/>
        <w:sz w:val="28"/>
        <w:szCs w:val="28"/>
      </w:rPr>
    </w:lvl>
    <w:lvl w:ilvl="2">
      <w:numFmt w:val="bullet"/>
      <w:lvlText w:val="•"/>
      <w:lvlJc w:val="left"/>
      <w:pPr>
        <w:ind w:left="3644" w:hanging="446"/>
      </w:pPr>
      <w:rPr>
        <w:rFonts w:hint="default"/>
      </w:rPr>
    </w:lvl>
    <w:lvl w:ilvl="3">
      <w:numFmt w:val="bullet"/>
      <w:lvlText w:val="•"/>
      <w:lvlJc w:val="left"/>
      <w:pPr>
        <w:ind w:left="4676" w:hanging="446"/>
      </w:pPr>
      <w:rPr>
        <w:rFonts w:hint="default"/>
      </w:rPr>
    </w:lvl>
    <w:lvl w:ilvl="4">
      <w:numFmt w:val="bullet"/>
      <w:lvlText w:val="•"/>
      <w:lvlJc w:val="left"/>
      <w:pPr>
        <w:ind w:left="5708" w:hanging="446"/>
      </w:pPr>
      <w:rPr>
        <w:rFonts w:hint="default"/>
      </w:rPr>
    </w:lvl>
    <w:lvl w:ilvl="5">
      <w:numFmt w:val="bullet"/>
      <w:lvlText w:val="•"/>
      <w:lvlJc w:val="left"/>
      <w:pPr>
        <w:ind w:left="6740" w:hanging="446"/>
      </w:pPr>
      <w:rPr>
        <w:rFonts w:hint="default"/>
      </w:rPr>
    </w:lvl>
    <w:lvl w:ilvl="6">
      <w:numFmt w:val="bullet"/>
      <w:lvlText w:val="•"/>
      <w:lvlJc w:val="left"/>
      <w:pPr>
        <w:ind w:left="7772" w:hanging="446"/>
      </w:pPr>
      <w:rPr>
        <w:rFonts w:hint="default"/>
      </w:rPr>
    </w:lvl>
    <w:lvl w:ilvl="7">
      <w:numFmt w:val="bullet"/>
      <w:lvlText w:val="•"/>
      <w:lvlJc w:val="left"/>
      <w:pPr>
        <w:ind w:left="8804" w:hanging="446"/>
      </w:pPr>
      <w:rPr>
        <w:rFonts w:hint="default"/>
      </w:rPr>
    </w:lvl>
    <w:lvl w:ilvl="8">
      <w:numFmt w:val="bullet"/>
      <w:lvlText w:val="•"/>
      <w:lvlJc w:val="left"/>
      <w:pPr>
        <w:ind w:left="9836" w:hanging="446"/>
      </w:pPr>
      <w:rPr>
        <w:rFonts w:hint="default"/>
      </w:rPr>
    </w:lvl>
  </w:abstractNum>
  <w:abstractNum w:abstractNumId="13" w15:restartNumberingAfterBreak="0">
    <w:nsid w:val="62342190"/>
    <w:multiLevelType w:val="hybridMultilevel"/>
    <w:tmpl w:val="7368F276"/>
    <w:lvl w:ilvl="0" w:tplc="2A2ADEF2">
      <w:numFmt w:val="bullet"/>
      <w:lvlText w:val=""/>
      <w:lvlJc w:val="left"/>
      <w:pPr>
        <w:ind w:left="1864" w:hanging="360"/>
      </w:pPr>
      <w:rPr>
        <w:rFonts w:hint="default" w:ascii="Symbol" w:hAnsi="Symbol" w:eastAsia="Symbol" w:cs="Symbol"/>
        <w:w w:val="100"/>
        <w:sz w:val="22"/>
        <w:szCs w:val="22"/>
      </w:rPr>
    </w:lvl>
    <w:lvl w:ilvl="1" w:tplc="7C02F2DA">
      <w:numFmt w:val="bullet"/>
      <w:lvlText w:val="•"/>
      <w:lvlJc w:val="left"/>
      <w:pPr>
        <w:ind w:left="2864" w:hanging="360"/>
      </w:pPr>
      <w:rPr>
        <w:rFonts w:hint="default"/>
      </w:rPr>
    </w:lvl>
    <w:lvl w:ilvl="2" w:tplc="49549390">
      <w:numFmt w:val="bullet"/>
      <w:lvlText w:val="•"/>
      <w:lvlJc w:val="left"/>
      <w:pPr>
        <w:ind w:left="3868" w:hanging="360"/>
      </w:pPr>
      <w:rPr>
        <w:rFonts w:hint="default"/>
      </w:rPr>
    </w:lvl>
    <w:lvl w:ilvl="3" w:tplc="7E02A9BE">
      <w:numFmt w:val="bullet"/>
      <w:lvlText w:val="•"/>
      <w:lvlJc w:val="left"/>
      <w:pPr>
        <w:ind w:left="4872" w:hanging="360"/>
      </w:pPr>
      <w:rPr>
        <w:rFonts w:hint="default"/>
      </w:rPr>
    </w:lvl>
    <w:lvl w:ilvl="4" w:tplc="59220A24">
      <w:numFmt w:val="bullet"/>
      <w:lvlText w:val="•"/>
      <w:lvlJc w:val="left"/>
      <w:pPr>
        <w:ind w:left="5876" w:hanging="360"/>
      </w:pPr>
      <w:rPr>
        <w:rFonts w:hint="default"/>
      </w:rPr>
    </w:lvl>
    <w:lvl w:ilvl="5" w:tplc="608EC410">
      <w:numFmt w:val="bullet"/>
      <w:lvlText w:val="•"/>
      <w:lvlJc w:val="left"/>
      <w:pPr>
        <w:ind w:left="6880" w:hanging="360"/>
      </w:pPr>
      <w:rPr>
        <w:rFonts w:hint="default"/>
      </w:rPr>
    </w:lvl>
    <w:lvl w:ilvl="6" w:tplc="4CCE0626">
      <w:numFmt w:val="bullet"/>
      <w:lvlText w:val="•"/>
      <w:lvlJc w:val="left"/>
      <w:pPr>
        <w:ind w:left="7884" w:hanging="360"/>
      </w:pPr>
      <w:rPr>
        <w:rFonts w:hint="default"/>
      </w:rPr>
    </w:lvl>
    <w:lvl w:ilvl="7" w:tplc="2DACAD98">
      <w:numFmt w:val="bullet"/>
      <w:lvlText w:val="•"/>
      <w:lvlJc w:val="left"/>
      <w:pPr>
        <w:ind w:left="8888" w:hanging="360"/>
      </w:pPr>
      <w:rPr>
        <w:rFonts w:hint="default"/>
      </w:rPr>
    </w:lvl>
    <w:lvl w:ilvl="8" w:tplc="388A5B60">
      <w:numFmt w:val="bullet"/>
      <w:lvlText w:val="•"/>
      <w:lvlJc w:val="left"/>
      <w:pPr>
        <w:ind w:left="9892" w:hanging="360"/>
      </w:pPr>
      <w:rPr>
        <w:rFonts w:hint="default"/>
      </w:rPr>
    </w:lvl>
  </w:abstractNum>
  <w:num w:numId="1" w16cid:durableId="608968764">
    <w:abstractNumId w:val="0"/>
  </w:num>
  <w:num w:numId="2" w16cid:durableId="307051195">
    <w:abstractNumId w:val="3"/>
  </w:num>
  <w:num w:numId="3" w16cid:durableId="1700543391">
    <w:abstractNumId w:val="5"/>
  </w:num>
  <w:num w:numId="4" w16cid:durableId="1981035215">
    <w:abstractNumId w:val="2"/>
  </w:num>
  <w:num w:numId="5" w16cid:durableId="2066103491">
    <w:abstractNumId w:val="4"/>
  </w:num>
  <w:num w:numId="6" w16cid:durableId="1565794035">
    <w:abstractNumId w:val="9"/>
  </w:num>
  <w:num w:numId="7" w16cid:durableId="1495218909">
    <w:abstractNumId w:val="12"/>
  </w:num>
  <w:num w:numId="8" w16cid:durableId="953557770">
    <w:abstractNumId w:val="11"/>
  </w:num>
  <w:num w:numId="9" w16cid:durableId="330303387">
    <w:abstractNumId w:val="8"/>
  </w:num>
  <w:num w:numId="10" w16cid:durableId="1896895843">
    <w:abstractNumId w:val="7"/>
  </w:num>
  <w:num w:numId="11" w16cid:durableId="1078752564">
    <w:abstractNumId w:val="13"/>
  </w:num>
  <w:num w:numId="12" w16cid:durableId="1392850693">
    <w:abstractNumId w:val="1"/>
  </w:num>
  <w:num w:numId="13" w16cid:durableId="341902077">
    <w:abstractNumId w:val="10"/>
  </w:num>
  <w:num w:numId="14" w16cid:durableId="1550452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numFmt w:val="chicago"/>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300BE4"/>
    <w:rsid w:val="00000C17"/>
    <w:rsid w:val="00000EF8"/>
    <w:rsid w:val="00000F79"/>
    <w:rsid w:val="0000192E"/>
    <w:rsid w:val="00002394"/>
    <w:rsid w:val="000024B7"/>
    <w:rsid w:val="000024E2"/>
    <w:rsid w:val="00002ED2"/>
    <w:rsid w:val="00003214"/>
    <w:rsid w:val="000037D6"/>
    <w:rsid w:val="00003D92"/>
    <w:rsid w:val="00003E07"/>
    <w:rsid w:val="0000624C"/>
    <w:rsid w:val="000105CA"/>
    <w:rsid w:val="000107A2"/>
    <w:rsid w:val="000107AF"/>
    <w:rsid w:val="000110AE"/>
    <w:rsid w:val="0001166F"/>
    <w:rsid w:val="00011F03"/>
    <w:rsid w:val="00012202"/>
    <w:rsid w:val="00012576"/>
    <w:rsid w:val="00012CE2"/>
    <w:rsid w:val="00012DDB"/>
    <w:rsid w:val="000130B6"/>
    <w:rsid w:val="00014BAF"/>
    <w:rsid w:val="000152C3"/>
    <w:rsid w:val="000160B9"/>
    <w:rsid w:val="0001778C"/>
    <w:rsid w:val="00020067"/>
    <w:rsid w:val="0002020C"/>
    <w:rsid w:val="00021015"/>
    <w:rsid w:val="000212D2"/>
    <w:rsid w:val="00021A0E"/>
    <w:rsid w:val="00021B82"/>
    <w:rsid w:val="00021FA0"/>
    <w:rsid w:val="0002258B"/>
    <w:rsid w:val="00022B39"/>
    <w:rsid w:val="00023672"/>
    <w:rsid w:val="0002476D"/>
    <w:rsid w:val="00024A3A"/>
    <w:rsid w:val="000253F2"/>
    <w:rsid w:val="00026471"/>
    <w:rsid w:val="0002647D"/>
    <w:rsid w:val="000268AA"/>
    <w:rsid w:val="00026B72"/>
    <w:rsid w:val="00027A50"/>
    <w:rsid w:val="00030C9A"/>
    <w:rsid w:val="00031865"/>
    <w:rsid w:val="00031AC7"/>
    <w:rsid w:val="00031B29"/>
    <w:rsid w:val="00032668"/>
    <w:rsid w:val="00032739"/>
    <w:rsid w:val="000339A6"/>
    <w:rsid w:val="00033E09"/>
    <w:rsid w:val="00033EA6"/>
    <w:rsid w:val="00034025"/>
    <w:rsid w:val="000345BE"/>
    <w:rsid w:val="00035852"/>
    <w:rsid w:val="00035F9D"/>
    <w:rsid w:val="000373BC"/>
    <w:rsid w:val="00037D3E"/>
    <w:rsid w:val="0004019B"/>
    <w:rsid w:val="00040590"/>
    <w:rsid w:val="00040BFC"/>
    <w:rsid w:val="00040DA9"/>
    <w:rsid w:val="00040F63"/>
    <w:rsid w:val="000413A6"/>
    <w:rsid w:val="000415F1"/>
    <w:rsid w:val="000417A5"/>
    <w:rsid w:val="00041A21"/>
    <w:rsid w:val="00042370"/>
    <w:rsid w:val="0004246D"/>
    <w:rsid w:val="00042715"/>
    <w:rsid w:val="00042E9A"/>
    <w:rsid w:val="00042F50"/>
    <w:rsid w:val="00043810"/>
    <w:rsid w:val="00045481"/>
    <w:rsid w:val="000459BC"/>
    <w:rsid w:val="0004619C"/>
    <w:rsid w:val="00046E3D"/>
    <w:rsid w:val="000478CB"/>
    <w:rsid w:val="000478EE"/>
    <w:rsid w:val="00047E6F"/>
    <w:rsid w:val="00050864"/>
    <w:rsid w:val="00051143"/>
    <w:rsid w:val="00053381"/>
    <w:rsid w:val="00054C4D"/>
    <w:rsid w:val="000555D5"/>
    <w:rsid w:val="00055C63"/>
    <w:rsid w:val="000560C1"/>
    <w:rsid w:val="00056A58"/>
    <w:rsid w:val="00057C02"/>
    <w:rsid w:val="00060D15"/>
    <w:rsid w:val="00060D23"/>
    <w:rsid w:val="000633C9"/>
    <w:rsid w:val="00064247"/>
    <w:rsid w:val="00064639"/>
    <w:rsid w:val="000646AD"/>
    <w:rsid w:val="00065565"/>
    <w:rsid w:val="000656C3"/>
    <w:rsid w:val="000666DE"/>
    <w:rsid w:val="000667A4"/>
    <w:rsid w:val="00066998"/>
    <w:rsid w:val="00066D13"/>
    <w:rsid w:val="00067357"/>
    <w:rsid w:val="00070BFE"/>
    <w:rsid w:val="00071E5B"/>
    <w:rsid w:val="00072516"/>
    <w:rsid w:val="00072D7C"/>
    <w:rsid w:val="000743AF"/>
    <w:rsid w:val="00074403"/>
    <w:rsid w:val="00074684"/>
    <w:rsid w:val="000747C2"/>
    <w:rsid w:val="00074B93"/>
    <w:rsid w:val="00074F5A"/>
    <w:rsid w:val="00076118"/>
    <w:rsid w:val="00076431"/>
    <w:rsid w:val="00076BF2"/>
    <w:rsid w:val="000770E4"/>
    <w:rsid w:val="00077CCA"/>
    <w:rsid w:val="0008052E"/>
    <w:rsid w:val="00080D07"/>
    <w:rsid w:val="00081910"/>
    <w:rsid w:val="000827FA"/>
    <w:rsid w:val="0008569B"/>
    <w:rsid w:val="00086F3B"/>
    <w:rsid w:val="000877E3"/>
    <w:rsid w:val="00087C43"/>
    <w:rsid w:val="00087C67"/>
    <w:rsid w:val="00090564"/>
    <w:rsid w:val="000911FD"/>
    <w:rsid w:val="000913F1"/>
    <w:rsid w:val="00091975"/>
    <w:rsid w:val="0009347A"/>
    <w:rsid w:val="00093EAB"/>
    <w:rsid w:val="000943FE"/>
    <w:rsid w:val="00095A11"/>
    <w:rsid w:val="000969E1"/>
    <w:rsid w:val="00096F65"/>
    <w:rsid w:val="00097921"/>
    <w:rsid w:val="000A10D8"/>
    <w:rsid w:val="000A1390"/>
    <w:rsid w:val="000A2AF2"/>
    <w:rsid w:val="000A42E9"/>
    <w:rsid w:val="000A50C6"/>
    <w:rsid w:val="000A5491"/>
    <w:rsid w:val="000A58F0"/>
    <w:rsid w:val="000A6011"/>
    <w:rsid w:val="000A699E"/>
    <w:rsid w:val="000A71CD"/>
    <w:rsid w:val="000A769E"/>
    <w:rsid w:val="000B151F"/>
    <w:rsid w:val="000B279C"/>
    <w:rsid w:val="000B28E3"/>
    <w:rsid w:val="000B2EFB"/>
    <w:rsid w:val="000B387A"/>
    <w:rsid w:val="000B3A27"/>
    <w:rsid w:val="000B3BEE"/>
    <w:rsid w:val="000B4A8E"/>
    <w:rsid w:val="000B4C02"/>
    <w:rsid w:val="000B5B3A"/>
    <w:rsid w:val="000B6A0B"/>
    <w:rsid w:val="000B6AF5"/>
    <w:rsid w:val="000B708E"/>
    <w:rsid w:val="000B749C"/>
    <w:rsid w:val="000B7944"/>
    <w:rsid w:val="000C0290"/>
    <w:rsid w:val="000C031C"/>
    <w:rsid w:val="000C0453"/>
    <w:rsid w:val="000C0DFA"/>
    <w:rsid w:val="000C144D"/>
    <w:rsid w:val="000C1F2D"/>
    <w:rsid w:val="000C22FA"/>
    <w:rsid w:val="000C2612"/>
    <w:rsid w:val="000C42AB"/>
    <w:rsid w:val="000C4D04"/>
    <w:rsid w:val="000C5DF5"/>
    <w:rsid w:val="000C622E"/>
    <w:rsid w:val="000C6CEB"/>
    <w:rsid w:val="000C7697"/>
    <w:rsid w:val="000D1537"/>
    <w:rsid w:val="000D26DC"/>
    <w:rsid w:val="000D27F2"/>
    <w:rsid w:val="000D2E85"/>
    <w:rsid w:val="000D3184"/>
    <w:rsid w:val="000D31FA"/>
    <w:rsid w:val="000D330F"/>
    <w:rsid w:val="000D3ED4"/>
    <w:rsid w:val="000D400E"/>
    <w:rsid w:val="000D4A35"/>
    <w:rsid w:val="000D6EE4"/>
    <w:rsid w:val="000D71F1"/>
    <w:rsid w:val="000D7880"/>
    <w:rsid w:val="000E04AA"/>
    <w:rsid w:val="000E0BDE"/>
    <w:rsid w:val="000E0DC1"/>
    <w:rsid w:val="000E4D85"/>
    <w:rsid w:val="000E517E"/>
    <w:rsid w:val="000E5F07"/>
    <w:rsid w:val="000E7621"/>
    <w:rsid w:val="000E7E5C"/>
    <w:rsid w:val="000F119C"/>
    <w:rsid w:val="000F4366"/>
    <w:rsid w:val="000F563B"/>
    <w:rsid w:val="000F613B"/>
    <w:rsid w:val="000F79C3"/>
    <w:rsid w:val="000F7F13"/>
    <w:rsid w:val="001003F5"/>
    <w:rsid w:val="0010055D"/>
    <w:rsid w:val="00100B93"/>
    <w:rsid w:val="00102211"/>
    <w:rsid w:val="0010273C"/>
    <w:rsid w:val="0010294E"/>
    <w:rsid w:val="00102CDF"/>
    <w:rsid w:val="00103FBB"/>
    <w:rsid w:val="001040DB"/>
    <w:rsid w:val="00104334"/>
    <w:rsid w:val="00105D38"/>
    <w:rsid w:val="00105F10"/>
    <w:rsid w:val="0010619D"/>
    <w:rsid w:val="001072A5"/>
    <w:rsid w:val="00107A02"/>
    <w:rsid w:val="00111793"/>
    <w:rsid w:val="001119E3"/>
    <w:rsid w:val="001126A2"/>
    <w:rsid w:val="00112B58"/>
    <w:rsid w:val="00113CB6"/>
    <w:rsid w:val="00113D98"/>
    <w:rsid w:val="00115665"/>
    <w:rsid w:val="0011713A"/>
    <w:rsid w:val="0012035D"/>
    <w:rsid w:val="001206C4"/>
    <w:rsid w:val="00120B4D"/>
    <w:rsid w:val="00121CD5"/>
    <w:rsid w:val="0012260D"/>
    <w:rsid w:val="00123997"/>
    <w:rsid w:val="00123EB5"/>
    <w:rsid w:val="00124215"/>
    <w:rsid w:val="001248DC"/>
    <w:rsid w:val="00124FA4"/>
    <w:rsid w:val="0012505A"/>
    <w:rsid w:val="00126104"/>
    <w:rsid w:val="001264CB"/>
    <w:rsid w:val="00126D82"/>
    <w:rsid w:val="001308F7"/>
    <w:rsid w:val="00130FDC"/>
    <w:rsid w:val="0013209C"/>
    <w:rsid w:val="00132221"/>
    <w:rsid w:val="001326F5"/>
    <w:rsid w:val="001332C7"/>
    <w:rsid w:val="00133964"/>
    <w:rsid w:val="00133A4B"/>
    <w:rsid w:val="00133AFE"/>
    <w:rsid w:val="00133F2A"/>
    <w:rsid w:val="00134424"/>
    <w:rsid w:val="00134C75"/>
    <w:rsid w:val="00134DD4"/>
    <w:rsid w:val="001352EA"/>
    <w:rsid w:val="00135614"/>
    <w:rsid w:val="00135621"/>
    <w:rsid w:val="001356E7"/>
    <w:rsid w:val="00135790"/>
    <w:rsid w:val="0013585E"/>
    <w:rsid w:val="00135880"/>
    <w:rsid w:val="00136539"/>
    <w:rsid w:val="00136789"/>
    <w:rsid w:val="001406CB"/>
    <w:rsid w:val="00140AED"/>
    <w:rsid w:val="00140E67"/>
    <w:rsid w:val="00141A9E"/>
    <w:rsid w:val="00143058"/>
    <w:rsid w:val="00143C3A"/>
    <w:rsid w:val="00144254"/>
    <w:rsid w:val="001450D9"/>
    <w:rsid w:val="00145DF5"/>
    <w:rsid w:val="00146084"/>
    <w:rsid w:val="001461C0"/>
    <w:rsid w:val="00146DC3"/>
    <w:rsid w:val="00147522"/>
    <w:rsid w:val="00147D2A"/>
    <w:rsid w:val="00150399"/>
    <w:rsid w:val="00150637"/>
    <w:rsid w:val="00150B52"/>
    <w:rsid w:val="00150DB9"/>
    <w:rsid w:val="0015159C"/>
    <w:rsid w:val="00152AC2"/>
    <w:rsid w:val="00152C76"/>
    <w:rsid w:val="00152D62"/>
    <w:rsid w:val="0015380B"/>
    <w:rsid w:val="0015381A"/>
    <w:rsid w:val="0015394F"/>
    <w:rsid w:val="00154C22"/>
    <w:rsid w:val="00155039"/>
    <w:rsid w:val="0015543B"/>
    <w:rsid w:val="00155D7B"/>
    <w:rsid w:val="001560D1"/>
    <w:rsid w:val="00156DDF"/>
    <w:rsid w:val="00157C29"/>
    <w:rsid w:val="00160AD3"/>
    <w:rsid w:val="00161279"/>
    <w:rsid w:val="0016303F"/>
    <w:rsid w:val="00163CB9"/>
    <w:rsid w:val="00163F03"/>
    <w:rsid w:val="00164574"/>
    <w:rsid w:val="00165226"/>
    <w:rsid w:val="001654D6"/>
    <w:rsid w:val="00166512"/>
    <w:rsid w:val="00166D4A"/>
    <w:rsid w:val="0017013F"/>
    <w:rsid w:val="00170262"/>
    <w:rsid w:val="00170A88"/>
    <w:rsid w:val="001716CC"/>
    <w:rsid w:val="00171749"/>
    <w:rsid w:val="00171CA6"/>
    <w:rsid w:val="0017220C"/>
    <w:rsid w:val="00172380"/>
    <w:rsid w:val="00172575"/>
    <w:rsid w:val="0017291C"/>
    <w:rsid w:val="001729EA"/>
    <w:rsid w:val="00172E60"/>
    <w:rsid w:val="00173588"/>
    <w:rsid w:val="001739BB"/>
    <w:rsid w:val="00173CC5"/>
    <w:rsid w:val="0017447B"/>
    <w:rsid w:val="00174738"/>
    <w:rsid w:val="001750FB"/>
    <w:rsid w:val="00175269"/>
    <w:rsid w:val="00175720"/>
    <w:rsid w:val="001758CE"/>
    <w:rsid w:val="00177FEF"/>
    <w:rsid w:val="001811EF"/>
    <w:rsid w:val="001813D1"/>
    <w:rsid w:val="00181506"/>
    <w:rsid w:val="00181609"/>
    <w:rsid w:val="00181C1D"/>
    <w:rsid w:val="00181CD4"/>
    <w:rsid w:val="00181CE8"/>
    <w:rsid w:val="00181EA0"/>
    <w:rsid w:val="001825CB"/>
    <w:rsid w:val="001837EA"/>
    <w:rsid w:val="00183802"/>
    <w:rsid w:val="001839E2"/>
    <w:rsid w:val="00184220"/>
    <w:rsid w:val="001844C1"/>
    <w:rsid w:val="00184C95"/>
    <w:rsid w:val="001850D3"/>
    <w:rsid w:val="00186447"/>
    <w:rsid w:val="00186B08"/>
    <w:rsid w:val="00186CF8"/>
    <w:rsid w:val="00187226"/>
    <w:rsid w:val="00187A6B"/>
    <w:rsid w:val="00187F07"/>
    <w:rsid w:val="00190949"/>
    <w:rsid w:val="001914F1"/>
    <w:rsid w:val="00191577"/>
    <w:rsid w:val="00191A99"/>
    <w:rsid w:val="00191BB4"/>
    <w:rsid w:val="001927BB"/>
    <w:rsid w:val="001949EB"/>
    <w:rsid w:val="00196A9C"/>
    <w:rsid w:val="00197BDD"/>
    <w:rsid w:val="001A0A0B"/>
    <w:rsid w:val="001A1605"/>
    <w:rsid w:val="001A262F"/>
    <w:rsid w:val="001A48F2"/>
    <w:rsid w:val="001A4DEF"/>
    <w:rsid w:val="001A5210"/>
    <w:rsid w:val="001A5C87"/>
    <w:rsid w:val="001A614D"/>
    <w:rsid w:val="001A694E"/>
    <w:rsid w:val="001A71C7"/>
    <w:rsid w:val="001A766C"/>
    <w:rsid w:val="001A7E69"/>
    <w:rsid w:val="001B0F50"/>
    <w:rsid w:val="001B1816"/>
    <w:rsid w:val="001B25E2"/>
    <w:rsid w:val="001B2EEF"/>
    <w:rsid w:val="001B3485"/>
    <w:rsid w:val="001B42F6"/>
    <w:rsid w:val="001B4E9D"/>
    <w:rsid w:val="001B5F83"/>
    <w:rsid w:val="001B74FE"/>
    <w:rsid w:val="001B7838"/>
    <w:rsid w:val="001C07B4"/>
    <w:rsid w:val="001C13BD"/>
    <w:rsid w:val="001C1F51"/>
    <w:rsid w:val="001C25B7"/>
    <w:rsid w:val="001C2A36"/>
    <w:rsid w:val="001C3670"/>
    <w:rsid w:val="001C3D6E"/>
    <w:rsid w:val="001C518A"/>
    <w:rsid w:val="001C6176"/>
    <w:rsid w:val="001C69A9"/>
    <w:rsid w:val="001D0671"/>
    <w:rsid w:val="001D06C1"/>
    <w:rsid w:val="001D15A2"/>
    <w:rsid w:val="001D1947"/>
    <w:rsid w:val="001D1B74"/>
    <w:rsid w:val="001D20AB"/>
    <w:rsid w:val="001D2263"/>
    <w:rsid w:val="001D24FB"/>
    <w:rsid w:val="001D2D48"/>
    <w:rsid w:val="001D3F65"/>
    <w:rsid w:val="001D493D"/>
    <w:rsid w:val="001D6A1C"/>
    <w:rsid w:val="001D6C4F"/>
    <w:rsid w:val="001D7318"/>
    <w:rsid w:val="001D7414"/>
    <w:rsid w:val="001D7674"/>
    <w:rsid w:val="001D7A70"/>
    <w:rsid w:val="001E1937"/>
    <w:rsid w:val="001E1DBA"/>
    <w:rsid w:val="001E1EC4"/>
    <w:rsid w:val="001E255A"/>
    <w:rsid w:val="001E2F1C"/>
    <w:rsid w:val="001E508E"/>
    <w:rsid w:val="001E5785"/>
    <w:rsid w:val="001E67CD"/>
    <w:rsid w:val="001E6DA8"/>
    <w:rsid w:val="001F0529"/>
    <w:rsid w:val="001F0689"/>
    <w:rsid w:val="001F0BA8"/>
    <w:rsid w:val="001F15CA"/>
    <w:rsid w:val="001F16AD"/>
    <w:rsid w:val="001F1E8D"/>
    <w:rsid w:val="001F1EA4"/>
    <w:rsid w:val="001F2D75"/>
    <w:rsid w:val="00200193"/>
    <w:rsid w:val="00200DA2"/>
    <w:rsid w:val="002020EA"/>
    <w:rsid w:val="00202B42"/>
    <w:rsid w:val="00204285"/>
    <w:rsid w:val="002043CA"/>
    <w:rsid w:val="00204BA2"/>
    <w:rsid w:val="0020540A"/>
    <w:rsid w:val="00205E1B"/>
    <w:rsid w:val="00205F79"/>
    <w:rsid w:val="00207449"/>
    <w:rsid w:val="00207C03"/>
    <w:rsid w:val="002103D7"/>
    <w:rsid w:val="0021057E"/>
    <w:rsid w:val="002109B2"/>
    <w:rsid w:val="00210B31"/>
    <w:rsid w:val="002125A9"/>
    <w:rsid w:val="002125BD"/>
    <w:rsid w:val="002127B7"/>
    <w:rsid w:val="00213A47"/>
    <w:rsid w:val="00213AD3"/>
    <w:rsid w:val="00213C80"/>
    <w:rsid w:val="002143DB"/>
    <w:rsid w:val="00214515"/>
    <w:rsid w:val="00214D54"/>
    <w:rsid w:val="002150C3"/>
    <w:rsid w:val="0021540E"/>
    <w:rsid w:val="0021591F"/>
    <w:rsid w:val="00215932"/>
    <w:rsid w:val="00215BF3"/>
    <w:rsid w:val="00215C98"/>
    <w:rsid w:val="00216218"/>
    <w:rsid w:val="0021770D"/>
    <w:rsid w:val="0021788D"/>
    <w:rsid w:val="00221F66"/>
    <w:rsid w:val="00222345"/>
    <w:rsid w:val="00222447"/>
    <w:rsid w:val="00226818"/>
    <w:rsid w:val="002272AB"/>
    <w:rsid w:val="002276AB"/>
    <w:rsid w:val="0023110D"/>
    <w:rsid w:val="002312A2"/>
    <w:rsid w:val="002314E5"/>
    <w:rsid w:val="002318B3"/>
    <w:rsid w:val="00232054"/>
    <w:rsid w:val="00233462"/>
    <w:rsid w:val="0023368B"/>
    <w:rsid w:val="00233F08"/>
    <w:rsid w:val="00233FAC"/>
    <w:rsid w:val="00234A89"/>
    <w:rsid w:val="0023510A"/>
    <w:rsid w:val="0023553B"/>
    <w:rsid w:val="00235E4E"/>
    <w:rsid w:val="002365CB"/>
    <w:rsid w:val="00237677"/>
    <w:rsid w:val="00237E2B"/>
    <w:rsid w:val="00237EAE"/>
    <w:rsid w:val="00241206"/>
    <w:rsid w:val="00241232"/>
    <w:rsid w:val="002412AF"/>
    <w:rsid w:val="00241FD0"/>
    <w:rsid w:val="00242A40"/>
    <w:rsid w:val="00243784"/>
    <w:rsid w:val="00244471"/>
    <w:rsid w:val="00244B23"/>
    <w:rsid w:val="00244C4E"/>
    <w:rsid w:val="00244D9B"/>
    <w:rsid w:val="002460D3"/>
    <w:rsid w:val="0024760C"/>
    <w:rsid w:val="00247D83"/>
    <w:rsid w:val="00250C64"/>
    <w:rsid w:val="00250ED4"/>
    <w:rsid w:val="002513A1"/>
    <w:rsid w:val="00251EE2"/>
    <w:rsid w:val="00252496"/>
    <w:rsid w:val="00253166"/>
    <w:rsid w:val="00253A0F"/>
    <w:rsid w:val="0025478B"/>
    <w:rsid w:val="0025538C"/>
    <w:rsid w:val="00255AC1"/>
    <w:rsid w:val="0025642B"/>
    <w:rsid w:val="00256BCE"/>
    <w:rsid w:val="00257D52"/>
    <w:rsid w:val="002624A9"/>
    <w:rsid w:val="00262537"/>
    <w:rsid w:val="002629E8"/>
    <w:rsid w:val="00263B93"/>
    <w:rsid w:val="0026422C"/>
    <w:rsid w:val="0026462B"/>
    <w:rsid w:val="002653F7"/>
    <w:rsid w:val="00265F92"/>
    <w:rsid w:val="0026633B"/>
    <w:rsid w:val="00266898"/>
    <w:rsid w:val="00266A96"/>
    <w:rsid w:val="002703D5"/>
    <w:rsid w:val="00270798"/>
    <w:rsid w:val="00270BA1"/>
    <w:rsid w:val="00270F65"/>
    <w:rsid w:val="00271C6F"/>
    <w:rsid w:val="00272182"/>
    <w:rsid w:val="00273C3E"/>
    <w:rsid w:val="00273E6F"/>
    <w:rsid w:val="00274E14"/>
    <w:rsid w:val="00276264"/>
    <w:rsid w:val="00276CD0"/>
    <w:rsid w:val="002813D0"/>
    <w:rsid w:val="00281FE6"/>
    <w:rsid w:val="002821FB"/>
    <w:rsid w:val="0028266F"/>
    <w:rsid w:val="00283A12"/>
    <w:rsid w:val="00284229"/>
    <w:rsid w:val="0028427F"/>
    <w:rsid w:val="002846B4"/>
    <w:rsid w:val="0028475A"/>
    <w:rsid w:val="002848D5"/>
    <w:rsid w:val="00286146"/>
    <w:rsid w:val="00286666"/>
    <w:rsid w:val="00286FBD"/>
    <w:rsid w:val="00287217"/>
    <w:rsid w:val="002900E2"/>
    <w:rsid w:val="00290581"/>
    <w:rsid w:val="002910AA"/>
    <w:rsid w:val="002911D7"/>
    <w:rsid w:val="002913C7"/>
    <w:rsid w:val="00291404"/>
    <w:rsid w:val="00291C3D"/>
    <w:rsid w:val="00291EB1"/>
    <w:rsid w:val="00292E19"/>
    <w:rsid w:val="00293784"/>
    <w:rsid w:val="0029392B"/>
    <w:rsid w:val="00293A56"/>
    <w:rsid w:val="00293B9D"/>
    <w:rsid w:val="002940FA"/>
    <w:rsid w:val="00294BFA"/>
    <w:rsid w:val="00296DED"/>
    <w:rsid w:val="002973B9"/>
    <w:rsid w:val="00297453"/>
    <w:rsid w:val="00297B9A"/>
    <w:rsid w:val="00297EDD"/>
    <w:rsid w:val="002A0AEB"/>
    <w:rsid w:val="002A11BD"/>
    <w:rsid w:val="002A14E0"/>
    <w:rsid w:val="002A1810"/>
    <w:rsid w:val="002A19CA"/>
    <w:rsid w:val="002A3562"/>
    <w:rsid w:val="002A4582"/>
    <w:rsid w:val="002A48D2"/>
    <w:rsid w:val="002A5DB3"/>
    <w:rsid w:val="002A6725"/>
    <w:rsid w:val="002A6953"/>
    <w:rsid w:val="002A70C8"/>
    <w:rsid w:val="002A7DFF"/>
    <w:rsid w:val="002B024C"/>
    <w:rsid w:val="002B03CB"/>
    <w:rsid w:val="002B081C"/>
    <w:rsid w:val="002B12EF"/>
    <w:rsid w:val="002B1C9D"/>
    <w:rsid w:val="002B2117"/>
    <w:rsid w:val="002B21DD"/>
    <w:rsid w:val="002B2378"/>
    <w:rsid w:val="002B2662"/>
    <w:rsid w:val="002B2979"/>
    <w:rsid w:val="002B3527"/>
    <w:rsid w:val="002B37A4"/>
    <w:rsid w:val="002B5323"/>
    <w:rsid w:val="002B562E"/>
    <w:rsid w:val="002B5AE3"/>
    <w:rsid w:val="002B5F20"/>
    <w:rsid w:val="002B66AB"/>
    <w:rsid w:val="002B6836"/>
    <w:rsid w:val="002B6A88"/>
    <w:rsid w:val="002B6E2C"/>
    <w:rsid w:val="002B7725"/>
    <w:rsid w:val="002C1BE4"/>
    <w:rsid w:val="002C4037"/>
    <w:rsid w:val="002C42DC"/>
    <w:rsid w:val="002C4B94"/>
    <w:rsid w:val="002C4D65"/>
    <w:rsid w:val="002C50FC"/>
    <w:rsid w:val="002C556C"/>
    <w:rsid w:val="002C5F34"/>
    <w:rsid w:val="002C6246"/>
    <w:rsid w:val="002C74D9"/>
    <w:rsid w:val="002D0199"/>
    <w:rsid w:val="002D0831"/>
    <w:rsid w:val="002D0B68"/>
    <w:rsid w:val="002D26D0"/>
    <w:rsid w:val="002D5635"/>
    <w:rsid w:val="002D5F75"/>
    <w:rsid w:val="002D6037"/>
    <w:rsid w:val="002D66BF"/>
    <w:rsid w:val="002D788D"/>
    <w:rsid w:val="002E0085"/>
    <w:rsid w:val="002E0BCD"/>
    <w:rsid w:val="002E0F99"/>
    <w:rsid w:val="002E1236"/>
    <w:rsid w:val="002E19BE"/>
    <w:rsid w:val="002E1E3F"/>
    <w:rsid w:val="002E2529"/>
    <w:rsid w:val="002E2D10"/>
    <w:rsid w:val="002E2F0A"/>
    <w:rsid w:val="002E3089"/>
    <w:rsid w:val="002E30DE"/>
    <w:rsid w:val="002E4C0B"/>
    <w:rsid w:val="002E5E11"/>
    <w:rsid w:val="002E6C97"/>
    <w:rsid w:val="002E6E4B"/>
    <w:rsid w:val="002E7530"/>
    <w:rsid w:val="002F072B"/>
    <w:rsid w:val="002F084F"/>
    <w:rsid w:val="002F1259"/>
    <w:rsid w:val="002F250C"/>
    <w:rsid w:val="002F45D3"/>
    <w:rsid w:val="002F4AB4"/>
    <w:rsid w:val="002F4FC7"/>
    <w:rsid w:val="002F58B0"/>
    <w:rsid w:val="002F5D41"/>
    <w:rsid w:val="002F6850"/>
    <w:rsid w:val="002F69A2"/>
    <w:rsid w:val="002F6A3D"/>
    <w:rsid w:val="002F6BF1"/>
    <w:rsid w:val="00300183"/>
    <w:rsid w:val="00300923"/>
    <w:rsid w:val="00300BD9"/>
    <w:rsid w:val="00300BE4"/>
    <w:rsid w:val="00301494"/>
    <w:rsid w:val="0030172C"/>
    <w:rsid w:val="00301A3B"/>
    <w:rsid w:val="00301B26"/>
    <w:rsid w:val="0030216C"/>
    <w:rsid w:val="0030299D"/>
    <w:rsid w:val="00303776"/>
    <w:rsid w:val="003045FD"/>
    <w:rsid w:val="0030522C"/>
    <w:rsid w:val="00305C09"/>
    <w:rsid w:val="003061D7"/>
    <w:rsid w:val="003062C9"/>
    <w:rsid w:val="003066DC"/>
    <w:rsid w:val="00307133"/>
    <w:rsid w:val="00307A23"/>
    <w:rsid w:val="00307A5C"/>
    <w:rsid w:val="00307C5A"/>
    <w:rsid w:val="00307CA3"/>
    <w:rsid w:val="00307E40"/>
    <w:rsid w:val="00310708"/>
    <w:rsid w:val="00311805"/>
    <w:rsid w:val="00311BAD"/>
    <w:rsid w:val="003138B0"/>
    <w:rsid w:val="00314B9F"/>
    <w:rsid w:val="003150D3"/>
    <w:rsid w:val="00315C7C"/>
    <w:rsid w:val="00315D3E"/>
    <w:rsid w:val="003162C9"/>
    <w:rsid w:val="00316C46"/>
    <w:rsid w:val="00317C51"/>
    <w:rsid w:val="00320229"/>
    <w:rsid w:val="00320F29"/>
    <w:rsid w:val="00321BE4"/>
    <w:rsid w:val="00322601"/>
    <w:rsid w:val="0032268D"/>
    <w:rsid w:val="00322944"/>
    <w:rsid w:val="003229D2"/>
    <w:rsid w:val="00322C83"/>
    <w:rsid w:val="003230E1"/>
    <w:rsid w:val="00323143"/>
    <w:rsid w:val="003238EA"/>
    <w:rsid w:val="00323D14"/>
    <w:rsid w:val="00324062"/>
    <w:rsid w:val="003243A5"/>
    <w:rsid w:val="00324D98"/>
    <w:rsid w:val="00324E8D"/>
    <w:rsid w:val="00325208"/>
    <w:rsid w:val="003254B6"/>
    <w:rsid w:val="003257DC"/>
    <w:rsid w:val="003258E1"/>
    <w:rsid w:val="00325924"/>
    <w:rsid w:val="0032602E"/>
    <w:rsid w:val="0032624D"/>
    <w:rsid w:val="0032665D"/>
    <w:rsid w:val="00327968"/>
    <w:rsid w:val="0033068E"/>
    <w:rsid w:val="00331248"/>
    <w:rsid w:val="0033156E"/>
    <w:rsid w:val="00331C90"/>
    <w:rsid w:val="00333D2B"/>
    <w:rsid w:val="00333E75"/>
    <w:rsid w:val="00335724"/>
    <w:rsid w:val="00335FF7"/>
    <w:rsid w:val="003365AA"/>
    <w:rsid w:val="00336EF6"/>
    <w:rsid w:val="0033730A"/>
    <w:rsid w:val="00340C62"/>
    <w:rsid w:val="00340C75"/>
    <w:rsid w:val="0034115B"/>
    <w:rsid w:val="0034141F"/>
    <w:rsid w:val="00341C54"/>
    <w:rsid w:val="0034245F"/>
    <w:rsid w:val="00343554"/>
    <w:rsid w:val="00343B85"/>
    <w:rsid w:val="00344415"/>
    <w:rsid w:val="003449AA"/>
    <w:rsid w:val="0034588D"/>
    <w:rsid w:val="003459E3"/>
    <w:rsid w:val="00345C12"/>
    <w:rsid w:val="00346439"/>
    <w:rsid w:val="003464EB"/>
    <w:rsid w:val="003471C3"/>
    <w:rsid w:val="0035082B"/>
    <w:rsid w:val="003509B4"/>
    <w:rsid w:val="00350EB7"/>
    <w:rsid w:val="0035118B"/>
    <w:rsid w:val="00352F6B"/>
    <w:rsid w:val="0035393E"/>
    <w:rsid w:val="00354003"/>
    <w:rsid w:val="00354449"/>
    <w:rsid w:val="003556DE"/>
    <w:rsid w:val="00355E02"/>
    <w:rsid w:val="00357932"/>
    <w:rsid w:val="00360135"/>
    <w:rsid w:val="003605C8"/>
    <w:rsid w:val="00362F22"/>
    <w:rsid w:val="00363AB0"/>
    <w:rsid w:val="0036479D"/>
    <w:rsid w:val="00364B8A"/>
    <w:rsid w:val="003651F0"/>
    <w:rsid w:val="00365798"/>
    <w:rsid w:val="003657B7"/>
    <w:rsid w:val="00365B49"/>
    <w:rsid w:val="0036706B"/>
    <w:rsid w:val="00367A03"/>
    <w:rsid w:val="00370748"/>
    <w:rsid w:val="00370C1F"/>
    <w:rsid w:val="00370CC2"/>
    <w:rsid w:val="00370DCB"/>
    <w:rsid w:val="003714BC"/>
    <w:rsid w:val="00371AFC"/>
    <w:rsid w:val="00372E41"/>
    <w:rsid w:val="00373829"/>
    <w:rsid w:val="00374676"/>
    <w:rsid w:val="00375115"/>
    <w:rsid w:val="003753BB"/>
    <w:rsid w:val="00376680"/>
    <w:rsid w:val="00376F48"/>
    <w:rsid w:val="0037747A"/>
    <w:rsid w:val="003805B9"/>
    <w:rsid w:val="003805EF"/>
    <w:rsid w:val="00380BF4"/>
    <w:rsid w:val="00380F56"/>
    <w:rsid w:val="00381018"/>
    <w:rsid w:val="00381CF5"/>
    <w:rsid w:val="00383B60"/>
    <w:rsid w:val="00383D4E"/>
    <w:rsid w:val="00384513"/>
    <w:rsid w:val="00384ED5"/>
    <w:rsid w:val="003856DB"/>
    <w:rsid w:val="003857DD"/>
    <w:rsid w:val="003857FA"/>
    <w:rsid w:val="003866B4"/>
    <w:rsid w:val="003867FA"/>
    <w:rsid w:val="00386AC2"/>
    <w:rsid w:val="00387FE9"/>
    <w:rsid w:val="00390F3B"/>
    <w:rsid w:val="00391F5F"/>
    <w:rsid w:val="00392756"/>
    <w:rsid w:val="003943DB"/>
    <w:rsid w:val="0039523B"/>
    <w:rsid w:val="00395344"/>
    <w:rsid w:val="00395B09"/>
    <w:rsid w:val="00395FEB"/>
    <w:rsid w:val="0039739D"/>
    <w:rsid w:val="00397806"/>
    <w:rsid w:val="00397E77"/>
    <w:rsid w:val="003A0957"/>
    <w:rsid w:val="003A266D"/>
    <w:rsid w:val="003A2A14"/>
    <w:rsid w:val="003A2BA0"/>
    <w:rsid w:val="003A3A1D"/>
    <w:rsid w:val="003A49DF"/>
    <w:rsid w:val="003A49E9"/>
    <w:rsid w:val="003A56A3"/>
    <w:rsid w:val="003A5879"/>
    <w:rsid w:val="003A6418"/>
    <w:rsid w:val="003A6506"/>
    <w:rsid w:val="003A6F10"/>
    <w:rsid w:val="003A7565"/>
    <w:rsid w:val="003A7891"/>
    <w:rsid w:val="003B1820"/>
    <w:rsid w:val="003B2789"/>
    <w:rsid w:val="003B3D92"/>
    <w:rsid w:val="003B528F"/>
    <w:rsid w:val="003B541A"/>
    <w:rsid w:val="003B6D2A"/>
    <w:rsid w:val="003B7290"/>
    <w:rsid w:val="003B74B0"/>
    <w:rsid w:val="003B7A48"/>
    <w:rsid w:val="003B7B7A"/>
    <w:rsid w:val="003B7EDF"/>
    <w:rsid w:val="003C1238"/>
    <w:rsid w:val="003C1B34"/>
    <w:rsid w:val="003C1EDB"/>
    <w:rsid w:val="003C1F26"/>
    <w:rsid w:val="003C2BC7"/>
    <w:rsid w:val="003C3B5C"/>
    <w:rsid w:val="003C5C4C"/>
    <w:rsid w:val="003C625E"/>
    <w:rsid w:val="003C6485"/>
    <w:rsid w:val="003C6963"/>
    <w:rsid w:val="003C6D57"/>
    <w:rsid w:val="003C754F"/>
    <w:rsid w:val="003D03C3"/>
    <w:rsid w:val="003D0480"/>
    <w:rsid w:val="003D11B1"/>
    <w:rsid w:val="003D3E96"/>
    <w:rsid w:val="003D4028"/>
    <w:rsid w:val="003D4051"/>
    <w:rsid w:val="003D425A"/>
    <w:rsid w:val="003D4360"/>
    <w:rsid w:val="003D4D76"/>
    <w:rsid w:val="003D4F39"/>
    <w:rsid w:val="003D5498"/>
    <w:rsid w:val="003E05AD"/>
    <w:rsid w:val="003E1048"/>
    <w:rsid w:val="003E1139"/>
    <w:rsid w:val="003E12F7"/>
    <w:rsid w:val="003E202A"/>
    <w:rsid w:val="003E2052"/>
    <w:rsid w:val="003E283A"/>
    <w:rsid w:val="003E303F"/>
    <w:rsid w:val="003E31DA"/>
    <w:rsid w:val="003E3B33"/>
    <w:rsid w:val="003E49F9"/>
    <w:rsid w:val="003E50B6"/>
    <w:rsid w:val="003E5140"/>
    <w:rsid w:val="003E5484"/>
    <w:rsid w:val="003E5B11"/>
    <w:rsid w:val="003E5BCC"/>
    <w:rsid w:val="003E79E3"/>
    <w:rsid w:val="003F0529"/>
    <w:rsid w:val="003F074E"/>
    <w:rsid w:val="003F09B1"/>
    <w:rsid w:val="003F0B90"/>
    <w:rsid w:val="003F1944"/>
    <w:rsid w:val="003F2B44"/>
    <w:rsid w:val="003F3F6B"/>
    <w:rsid w:val="003F4039"/>
    <w:rsid w:val="003F4202"/>
    <w:rsid w:val="003F47C9"/>
    <w:rsid w:val="003F5487"/>
    <w:rsid w:val="003F5C42"/>
    <w:rsid w:val="003F71F5"/>
    <w:rsid w:val="00400121"/>
    <w:rsid w:val="00400A37"/>
    <w:rsid w:val="004033FE"/>
    <w:rsid w:val="00403598"/>
    <w:rsid w:val="00404F69"/>
    <w:rsid w:val="0040506F"/>
    <w:rsid w:val="00405864"/>
    <w:rsid w:val="004059F3"/>
    <w:rsid w:val="00406626"/>
    <w:rsid w:val="00406CBE"/>
    <w:rsid w:val="004071E6"/>
    <w:rsid w:val="0040755D"/>
    <w:rsid w:val="00407E83"/>
    <w:rsid w:val="0041129F"/>
    <w:rsid w:val="004119F0"/>
    <w:rsid w:val="00411AC1"/>
    <w:rsid w:val="00415810"/>
    <w:rsid w:val="004162FA"/>
    <w:rsid w:val="00417451"/>
    <w:rsid w:val="00417BAB"/>
    <w:rsid w:val="00420848"/>
    <w:rsid w:val="00421076"/>
    <w:rsid w:val="004216B8"/>
    <w:rsid w:val="00422B4E"/>
    <w:rsid w:val="00422D12"/>
    <w:rsid w:val="004231DE"/>
    <w:rsid w:val="0042334A"/>
    <w:rsid w:val="0042338E"/>
    <w:rsid w:val="00423900"/>
    <w:rsid w:val="004243B0"/>
    <w:rsid w:val="00424645"/>
    <w:rsid w:val="00426E75"/>
    <w:rsid w:val="00427C76"/>
    <w:rsid w:val="00430004"/>
    <w:rsid w:val="0043091F"/>
    <w:rsid w:val="00430E8E"/>
    <w:rsid w:val="004310D2"/>
    <w:rsid w:val="004318BA"/>
    <w:rsid w:val="004324E9"/>
    <w:rsid w:val="00432566"/>
    <w:rsid w:val="00432771"/>
    <w:rsid w:val="00432D96"/>
    <w:rsid w:val="00433021"/>
    <w:rsid w:val="00433073"/>
    <w:rsid w:val="0043366A"/>
    <w:rsid w:val="004336CB"/>
    <w:rsid w:val="00433A27"/>
    <w:rsid w:val="00433D61"/>
    <w:rsid w:val="00433EAB"/>
    <w:rsid w:val="00434C1B"/>
    <w:rsid w:val="0043531E"/>
    <w:rsid w:val="00435EBA"/>
    <w:rsid w:val="0043711E"/>
    <w:rsid w:val="00437541"/>
    <w:rsid w:val="004378B9"/>
    <w:rsid w:val="00441758"/>
    <w:rsid w:val="00441CE1"/>
    <w:rsid w:val="00441F74"/>
    <w:rsid w:val="0044201F"/>
    <w:rsid w:val="00442ABD"/>
    <w:rsid w:val="00443174"/>
    <w:rsid w:val="004436DF"/>
    <w:rsid w:val="004437A5"/>
    <w:rsid w:val="00443907"/>
    <w:rsid w:val="00443E1F"/>
    <w:rsid w:val="00443EAB"/>
    <w:rsid w:val="004442A9"/>
    <w:rsid w:val="00444EB9"/>
    <w:rsid w:val="0045010F"/>
    <w:rsid w:val="004506FD"/>
    <w:rsid w:val="0045117A"/>
    <w:rsid w:val="0045164D"/>
    <w:rsid w:val="004517DB"/>
    <w:rsid w:val="0045219E"/>
    <w:rsid w:val="004523BD"/>
    <w:rsid w:val="00452B80"/>
    <w:rsid w:val="00452C94"/>
    <w:rsid w:val="0045319B"/>
    <w:rsid w:val="00454501"/>
    <w:rsid w:val="00454540"/>
    <w:rsid w:val="00455199"/>
    <w:rsid w:val="0045574E"/>
    <w:rsid w:val="00455820"/>
    <w:rsid w:val="00456423"/>
    <w:rsid w:val="004570C4"/>
    <w:rsid w:val="00457F9B"/>
    <w:rsid w:val="00460434"/>
    <w:rsid w:val="00461101"/>
    <w:rsid w:val="004618B2"/>
    <w:rsid w:val="0046227F"/>
    <w:rsid w:val="0046228D"/>
    <w:rsid w:val="004631A1"/>
    <w:rsid w:val="004635F7"/>
    <w:rsid w:val="00463A80"/>
    <w:rsid w:val="004642E3"/>
    <w:rsid w:val="00465C8A"/>
    <w:rsid w:val="004664BB"/>
    <w:rsid w:val="00466570"/>
    <w:rsid w:val="00466F99"/>
    <w:rsid w:val="00467A8C"/>
    <w:rsid w:val="00467D71"/>
    <w:rsid w:val="004705D6"/>
    <w:rsid w:val="004717D5"/>
    <w:rsid w:val="0047296E"/>
    <w:rsid w:val="00472D07"/>
    <w:rsid w:val="0047300D"/>
    <w:rsid w:val="004740ED"/>
    <w:rsid w:val="0047450A"/>
    <w:rsid w:val="00474631"/>
    <w:rsid w:val="00474D15"/>
    <w:rsid w:val="004752A2"/>
    <w:rsid w:val="004753F8"/>
    <w:rsid w:val="00475B8E"/>
    <w:rsid w:val="0047733C"/>
    <w:rsid w:val="00477E66"/>
    <w:rsid w:val="00480D2A"/>
    <w:rsid w:val="004818DA"/>
    <w:rsid w:val="00481A0D"/>
    <w:rsid w:val="00481BE4"/>
    <w:rsid w:val="00482312"/>
    <w:rsid w:val="00482E7D"/>
    <w:rsid w:val="004835DA"/>
    <w:rsid w:val="00484067"/>
    <w:rsid w:val="004849B8"/>
    <w:rsid w:val="00484A50"/>
    <w:rsid w:val="00484B31"/>
    <w:rsid w:val="00484D45"/>
    <w:rsid w:val="0048514D"/>
    <w:rsid w:val="00485C72"/>
    <w:rsid w:val="00486E73"/>
    <w:rsid w:val="00487119"/>
    <w:rsid w:val="004879FF"/>
    <w:rsid w:val="004900B7"/>
    <w:rsid w:val="00490885"/>
    <w:rsid w:val="00490A9A"/>
    <w:rsid w:val="00492B79"/>
    <w:rsid w:val="00493B5F"/>
    <w:rsid w:val="00493CC5"/>
    <w:rsid w:val="00494033"/>
    <w:rsid w:val="00495FD1"/>
    <w:rsid w:val="00496A6F"/>
    <w:rsid w:val="00496FF7"/>
    <w:rsid w:val="004972F5"/>
    <w:rsid w:val="00497B62"/>
    <w:rsid w:val="004A09E8"/>
    <w:rsid w:val="004A0A9C"/>
    <w:rsid w:val="004A133D"/>
    <w:rsid w:val="004A23D3"/>
    <w:rsid w:val="004A3508"/>
    <w:rsid w:val="004A4C27"/>
    <w:rsid w:val="004A4DDA"/>
    <w:rsid w:val="004A50C3"/>
    <w:rsid w:val="004A5ABE"/>
    <w:rsid w:val="004A5BBA"/>
    <w:rsid w:val="004A6184"/>
    <w:rsid w:val="004B17EF"/>
    <w:rsid w:val="004B1EC2"/>
    <w:rsid w:val="004B2162"/>
    <w:rsid w:val="004B2848"/>
    <w:rsid w:val="004B2A1E"/>
    <w:rsid w:val="004B30C7"/>
    <w:rsid w:val="004B3391"/>
    <w:rsid w:val="004B43F0"/>
    <w:rsid w:val="004B694C"/>
    <w:rsid w:val="004B742E"/>
    <w:rsid w:val="004B7676"/>
    <w:rsid w:val="004B7D95"/>
    <w:rsid w:val="004C1128"/>
    <w:rsid w:val="004C2429"/>
    <w:rsid w:val="004C2CCB"/>
    <w:rsid w:val="004C3EAE"/>
    <w:rsid w:val="004C3F79"/>
    <w:rsid w:val="004C48C7"/>
    <w:rsid w:val="004C4FCE"/>
    <w:rsid w:val="004C60CE"/>
    <w:rsid w:val="004C624A"/>
    <w:rsid w:val="004C6B63"/>
    <w:rsid w:val="004C7134"/>
    <w:rsid w:val="004C761F"/>
    <w:rsid w:val="004C77E5"/>
    <w:rsid w:val="004D01EF"/>
    <w:rsid w:val="004D151E"/>
    <w:rsid w:val="004D1954"/>
    <w:rsid w:val="004D1A52"/>
    <w:rsid w:val="004D26DA"/>
    <w:rsid w:val="004D281D"/>
    <w:rsid w:val="004D2B93"/>
    <w:rsid w:val="004D2D89"/>
    <w:rsid w:val="004D3565"/>
    <w:rsid w:val="004D45A2"/>
    <w:rsid w:val="004D4BFC"/>
    <w:rsid w:val="004D562F"/>
    <w:rsid w:val="004D6108"/>
    <w:rsid w:val="004D6CA0"/>
    <w:rsid w:val="004D7CEF"/>
    <w:rsid w:val="004D7F02"/>
    <w:rsid w:val="004E06C6"/>
    <w:rsid w:val="004E06DD"/>
    <w:rsid w:val="004E102C"/>
    <w:rsid w:val="004E10CB"/>
    <w:rsid w:val="004E123A"/>
    <w:rsid w:val="004E14AC"/>
    <w:rsid w:val="004E18DE"/>
    <w:rsid w:val="004E2F55"/>
    <w:rsid w:val="004E3A2C"/>
    <w:rsid w:val="004E498F"/>
    <w:rsid w:val="004E4A3F"/>
    <w:rsid w:val="004E51F5"/>
    <w:rsid w:val="004E5512"/>
    <w:rsid w:val="004E6009"/>
    <w:rsid w:val="004E72C2"/>
    <w:rsid w:val="004F03A2"/>
    <w:rsid w:val="004F0769"/>
    <w:rsid w:val="004F0FB7"/>
    <w:rsid w:val="004F13FA"/>
    <w:rsid w:val="004F3E5F"/>
    <w:rsid w:val="004F3E7E"/>
    <w:rsid w:val="004F40E4"/>
    <w:rsid w:val="004F411A"/>
    <w:rsid w:val="004F435D"/>
    <w:rsid w:val="004F51C3"/>
    <w:rsid w:val="004F5809"/>
    <w:rsid w:val="004F65C6"/>
    <w:rsid w:val="004F6C8D"/>
    <w:rsid w:val="004F6D13"/>
    <w:rsid w:val="004F7B13"/>
    <w:rsid w:val="00500054"/>
    <w:rsid w:val="005004A5"/>
    <w:rsid w:val="00500A98"/>
    <w:rsid w:val="00501A96"/>
    <w:rsid w:val="0050301A"/>
    <w:rsid w:val="005031B9"/>
    <w:rsid w:val="005037E9"/>
    <w:rsid w:val="005049F7"/>
    <w:rsid w:val="00505370"/>
    <w:rsid w:val="00505EA6"/>
    <w:rsid w:val="00507186"/>
    <w:rsid w:val="0050741C"/>
    <w:rsid w:val="005077F6"/>
    <w:rsid w:val="00510101"/>
    <w:rsid w:val="00510AA4"/>
    <w:rsid w:val="00511479"/>
    <w:rsid w:val="00511A47"/>
    <w:rsid w:val="00512277"/>
    <w:rsid w:val="00513753"/>
    <w:rsid w:val="00513C65"/>
    <w:rsid w:val="00513DAA"/>
    <w:rsid w:val="0051492E"/>
    <w:rsid w:val="00514B21"/>
    <w:rsid w:val="00516DE5"/>
    <w:rsid w:val="00520551"/>
    <w:rsid w:val="00520B4A"/>
    <w:rsid w:val="00520BA3"/>
    <w:rsid w:val="00520C44"/>
    <w:rsid w:val="00521837"/>
    <w:rsid w:val="00521A56"/>
    <w:rsid w:val="005228F6"/>
    <w:rsid w:val="005229FE"/>
    <w:rsid w:val="00522C50"/>
    <w:rsid w:val="005233A7"/>
    <w:rsid w:val="00523774"/>
    <w:rsid w:val="005237AA"/>
    <w:rsid w:val="00524677"/>
    <w:rsid w:val="00525287"/>
    <w:rsid w:val="00525333"/>
    <w:rsid w:val="00525554"/>
    <w:rsid w:val="00525D1A"/>
    <w:rsid w:val="005261E0"/>
    <w:rsid w:val="005272AA"/>
    <w:rsid w:val="00530CB2"/>
    <w:rsid w:val="00531483"/>
    <w:rsid w:val="0053231B"/>
    <w:rsid w:val="005328EA"/>
    <w:rsid w:val="0053327F"/>
    <w:rsid w:val="00533E2C"/>
    <w:rsid w:val="005349C1"/>
    <w:rsid w:val="00535711"/>
    <w:rsid w:val="00535C36"/>
    <w:rsid w:val="005367C0"/>
    <w:rsid w:val="00536DC2"/>
    <w:rsid w:val="0053721F"/>
    <w:rsid w:val="005374C8"/>
    <w:rsid w:val="00537A6D"/>
    <w:rsid w:val="00537AB3"/>
    <w:rsid w:val="00541F43"/>
    <w:rsid w:val="00543458"/>
    <w:rsid w:val="00545A4A"/>
    <w:rsid w:val="00546399"/>
    <w:rsid w:val="005507FA"/>
    <w:rsid w:val="0055093F"/>
    <w:rsid w:val="00550FB4"/>
    <w:rsid w:val="00551E3A"/>
    <w:rsid w:val="00552A42"/>
    <w:rsid w:val="00553FBC"/>
    <w:rsid w:val="0055410E"/>
    <w:rsid w:val="00555DB1"/>
    <w:rsid w:val="00555E63"/>
    <w:rsid w:val="00555EEC"/>
    <w:rsid w:val="00556A44"/>
    <w:rsid w:val="00557D80"/>
    <w:rsid w:val="00560D1B"/>
    <w:rsid w:val="005610DD"/>
    <w:rsid w:val="00561EA9"/>
    <w:rsid w:val="0056244D"/>
    <w:rsid w:val="00562EA2"/>
    <w:rsid w:val="00562FFB"/>
    <w:rsid w:val="005636B7"/>
    <w:rsid w:val="005641FC"/>
    <w:rsid w:val="0056438F"/>
    <w:rsid w:val="00564805"/>
    <w:rsid w:val="00564D41"/>
    <w:rsid w:val="00564E6E"/>
    <w:rsid w:val="00565792"/>
    <w:rsid w:val="00565A2D"/>
    <w:rsid w:val="00565BD6"/>
    <w:rsid w:val="00566418"/>
    <w:rsid w:val="00567B4C"/>
    <w:rsid w:val="00570414"/>
    <w:rsid w:val="00570BF1"/>
    <w:rsid w:val="00570CD2"/>
    <w:rsid w:val="00571947"/>
    <w:rsid w:val="005726F8"/>
    <w:rsid w:val="0057270F"/>
    <w:rsid w:val="00573463"/>
    <w:rsid w:val="005734BD"/>
    <w:rsid w:val="00574296"/>
    <w:rsid w:val="00574624"/>
    <w:rsid w:val="005757F6"/>
    <w:rsid w:val="00575ACA"/>
    <w:rsid w:val="00576151"/>
    <w:rsid w:val="00577279"/>
    <w:rsid w:val="00580CC2"/>
    <w:rsid w:val="00580E8A"/>
    <w:rsid w:val="00582335"/>
    <w:rsid w:val="005829DC"/>
    <w:rsid w:val="005832E5"/>
    <w:rsid w:val="00584473"/>
    <w:rsid w:val="00584879"/>
    <w:rsid w:val="00585567"/>
    <w:rsid w:val="00585CC2"/>
    <w:rsid w:val="00586500"/>
    <w:rsid w:val="00587E4E"/>
    <w:rsid w:val="005900D5"/>
    <w:rsid w:val="0059022C"/>
    <w:rsid w:val="0059047C"/>
    <w:rsid w:val="005906CD"/>
    <w:rsid w:val="00590AA2"/>
    <w:rsid w:val="0059113F"/>
    <w:rsid w:val="00591353"/>
    <w:rsid w:val="00591F97"/>
    <w:rsid w:val="00592762"/>
    <w:rsid w:val="00593E14"/>
    <w:rsid w:val="0059418F"/>
    <w:rsid w:val="00594773"/>
    <w:rsid w:val="00594B41"/>
    <w:rsid w:val="00595170"/>
    <w:rsid w:val="005953FD"/>
    <w:rsid w:val="005958C3"/>
    <w:rsid w:val="00595FA8"/>
    <w:rsid w:val="005968C4"/>
    <w:rsid w:val="00596E05"/>
    <w:rsid w:val="00597282"/>
    <w:rsid w:val="0059742F"/>
    <w:rsid w:val="00597B94"/>
    <w:rsid w:val="00597F14"/>
    <w:rsid w:val="00597F5A"/>
    <w:rsid w:val="005A09B6"/>
    <w:rsid w:val="005A09DB"/>
    <w:rsid w:val="005A0ADA"/>
    <w:rsid w:val="005A0BBD"/>
    <w:rsid w:val="005A23A9"/>
    <w:rsid w:val="005A36FC"/>
    <w:rsid w:val="005A3940"/>
    <w:rsid w:val="005A3F8A"/>
    <w:rsid w:val="005A40D7"/>
    <w:rsid w:val="005A4AC2"/>
    <w:rsid w:val="005A59BE"/>
    <w:rsid w:val="005A5E45"/>
    <w:rsid w:val="005A6768"/>
    <w:rsid w:val="005A7155"/>
    <w:rsid w:val="005B2EC3"/>
    <w:rsid w:val="005B3256"/>
    <w:rsid w:val="005B348B"/>
    <w:rsid w:val="005B379C"/>
    <w:rsid w:val="005B3EA8"/>
    <w:rsid w:val="005B42CD"/>
    <w:rsid w:val="005B5348"/>
    <w:rsid w:val="005B56A6"/>
    <w:rsid w:val="005B5AF9"/>
    <w:rsid w:val="005B6864"/>
    <w:rsid w:val="005B7370"/>
    <w:rsid w:val="005B7E2C"/>
    <w:rsid w:val="005C022C"/>
    <w:rsid w:val="005C0405"/>
    <w:rsid w:val="005C09F2"/>
    <w:rsid w:val="005C1276"/>
    <w:rsid w:val="005C185F"/>
    <w:rsid w:val="005C2EE7"/>
    <w:rsid w:val="005C32E6"/>
    <w:rsid w:val="005C3FD3"/>
    <w:rsid w:val="005C4440"/>
    <w:rsid w:val="005C574E"/>
    <w:rsid w:val="005C58F2"/>
    <w:rsid w:val="005C5B9F"/>
    <w:rsid w:val="005C5CBC"/>
    <w:rsid w:val="005C6136"/>
    <w:rsid w:val="005C6E44"/>
    <w:rsid w:val="005C763E"/>
    <w:rsid w:val="005C7B20"/>
    <w:rsid w:val="005C7F39"/>
    <w:rsid w:val="005D0C79"/>
    <w:rsid w:val="005D1063"/>
    <w:rsid w:val="005D1AC2"/>
    <w:rsid w:val="005D1B82"/>
    <w:rsid w:val="005D1CE8"/>
    <w:rsid w:val="005D2530"/>
    <w:rsid w:val="005D25B2"/>
    <w:rsid w:val="005D2BA6"/>
    <w:rsid w:val="005D3A6F"/>
    <w:rsid w:val="005D42D0"/>
    <w:rsid w:val="005D5389"/>
    <w:rsid w:val="005D6255"/>
    <w:rsid w:val="005D6367"/>
    <w:rsid w:val="005D650F"/>
    <w:rsid w:val="005D7352"/>
    <w:rsid w:val="005D74D5"/>
    <w:rsid w:val="005E086E"/>
    <w:rsid w:val="005E08EF"/>
    <w:rsid w:val="005E0CFB"/>
    <w:rsid w:val="005E2ADE"/>
    <w:rsid w:val="005E363F"/>
    <w:rsid w:val="005E3D57"/>
    <w:rsid w:val="005E49FA"/>
    <w:rsid w:val="005E665F"/>
    <w:rsid w:val="005E6A32"/>
    <w:rsid w:val="005E6B70"/>
    <w:rsid w:val="005E78A3"/>
    <w:rsid w:val="005E79BC"/>
    <w:rsid w:val="005E7D4A"/>
    <w:rsid w:val="005E7E76"/>
    <w:rsid w:val="005F286A"/>
    <w:rsid w:val="005F2AA9"/>
    <w:rsid w:val="005F2BF6"/>
    <w:rsid w:val="005F2E3C"/>
    <w:rsid w:val="005F394A"/>
    <w:rsid w:val="005F5047"/>
    <w:rsid w:val="005F5F40"/>
    <w:rsid w:val="005F6DE5"/>
    <w:rsid w:val="005F6F76"/>
    <w:rsid w:val="005F72B3"/>
    <w:rsid w:val="005F782D"/>
    <w:rsid w:val="005F79F6"/>
    <w:rsid w:val="00600B11"/>
    <w:rsid w:val="00600C52"/>
    <w:rsid w:val="00600E74"/>
    <w:rsid w:val="006010AF"/>
    <w:rsid w:val="006014FB"/>
    <w:rsid w:val="0060176A"/>
    <w:rsid w:val="00601D5E"/>
    <w:rsid w:val="00601FF8"/>
    <w:rsid w:val="0060283A"/>
    <w:rsid w:val="00603156"/>
    <w:rsid w:val="00603999"/>
    <w:rsid w:val="006117B8"/>
    <w:rsid w:val="0061199D"/>
    <w:rsid w:val="00612A44"/>
    <w:rsid w:val="00614608"/>
    <w:rsid w:val="006156C0"/>
    <w:rsid w:val="00615A61"/>
    <w:rsid w:val="00615B6C"/>
    <w:rsid w:val="0061621C"/>
    <w:rsid w:val="00616EBD"/>
    <w:rsid w:val="0062084A"/>
    <w:rsid w:val="00621224"/>
    <w:rsid w:val="006219F6"/>
    <w:rsid w:val="00621A31"/>
    <w:rsid w:val="00621C15"/>
    <w:rsid w:val="00623460"/>
    <w:rsid w:val="00623488"/>
    <w:rsid w:val="00624166"/>
    <w:rsid w:val="006252FA"/>
    <w:rsid w:val="0062582E"/>
    <w:rsid w:val="00625A00"/>
    <w:rsid w:val="00626119"/>
    <w:rsid w:val="00626354"/>
    <w:rsid w:val="0062681F"/>
    <w:rsid w:val="00627D63"/>
    <w:rsid w:val="0063087F"/>
    <w:rsid w:val="00630EA9"/>
    <w:rsid w:val="00630FC0"/>
    <w:rsid w:val="0063157B"/>
    <w:rsid w:val="00631726"/>
    <w:rsid w:val="00631833"/>
    <w:rsid w:val="00631C57"/>
    <w:rsid w:val="0063267C"/>
    <w:rsid w:val="00632F0D"/>
    <w:rsid w:val="00633F7D"/>
    <w:rsid w:val="00634165"/>
    <w:rsid w:val="006341F3"/>
    <w:rsid w:val="00634E91"/>
    <w:rsid w:val="00635469"/>
    <w:rsid w:val="006367F3"/>
    <w:rsid w:val="00636EC3"/>
    <w:rsid w:val="0063760B"/>
    <w:rsid w:val="00637F66"/>
    <w:rsid w:val="00640366"/>
    <w:rsid w:val="006403CC"/>
    <w:rsid w:val="0064069E"/>
    <w:rsid w:val="006408B8"/>
    <w:rsid w:val="006416F4"/>
    <w:rsid w:val="00641806"/>
    <w:rsid w:val="00641F85"/>
    <w:rsid w:val="00642B1E"/>
    <w:rsid w:val="00642BE6"/>
    <w:rsid w:val="006442A8"/>
    <w:rsid w:val="006447DF"/>
    <w:rsid w:val="006448D5"/>
    <w:rsid w:val="00644E70"/>
    <w:rsid w:val="00646C16"/>
    <w:rsid w:val="00646EF6"/>
    <w:rsid w:val="00646FBC"/>
    <w:rsid w:val="006500E9"/>
    <w:rsid w:val="00650854"/>
    <w:rsid w:val="006532A1"/>
    <w:rsid w:val="00653635"/>
    <w:rsid w:val="006542C2"/>
    <w:rsid w:val="00654330"/>
    <w:rsid w:val="00654BA0"/>
    <w:rsid w:val="00655EB5"/>
    <w:rsid w:val="0065621A"/>
    <w:rsid w:val="006564BE"/>
    <w:rsid w:val="006572D4"/>
    <w:rsid w:val="00660431"/>
    <w:rsid w:val="00660E0B"/>
    <w:rsid w:val="0066103F"/>
    <w:rsid w:val="006618AC"/>
    <w:rsid w:val="00661EF8"/>
    <w:rsid w:val="006628C6"/>
    <w:rsid w:val="00663618"/>
    <w:rsid w:val="00663B3E"/>
    <w:rsid w:val="006643A0"/>
    <w:rsid w:val="00664969"/>
    <w:rsid w:val="0066677B"/>
    <w:rsid w:val="00667C8E"/>
    <w:rsid w:val="00667E99"/>
    <w:rsid w:val="006707CF"/>
    <w:rsid w:val="00670A1D"/>
    <w:rsid w:val="0067116D"/>
    <w:rsid w:val="0067198A"/>
    <w:rsid w:val="00672563"/>
    <w:rsid w:val="00672808"/>
    <w:rsid w:val="006729D6"/>
    <w:rsid w:val="00673BA8"/>
    <w:rsid w:val="00673FC0"/>
    <w:rsid w:val="00675C41"/>
    <w:rsid w:val="00677083"/>
    <w:rsid w:val="0067718A"/>
    <w:rsid w:val="00677241"/>
    <w:rsid w:val="00677786"/>
    <w:rsid w:val="00677859"/>
    <w:rsid w:val="00680696"/>
    <w:rsid w:val="006808DB"/>
    <w:rsid w:val="00681018"/>
    <w:rsid w:val="00681547"/>
    <w:rsid w:val="0068162F"/>
    <w:rsid w:val="00683295"/>
    <w:rsid w:val="0068461C"/>
    <w:rsid w:val="00686E4C"/>
    <w:rsid w:val="006874FC"/>
    <w:rsid w:val="00687925"/>
    <w:rsid w:val="00690228"/>
    <w:rsid w:val="006914EE"/>
    <w:rsid w:val="0069181C"/>
    <w:rsid w:val="006918B0"/>
    <w:rsid w:val="00692DDE"/>
    <w:rsid w:val="00693A0B"/>
    <w:rsid w:val="00693E47"/>
    <w:rsid w:val="00694029"/>
    <w:rsid w:val="006941D3"/>
    <w:rsid w:val="00694903"/>
    <w:rsid w:val="0069512C"/>
    <w:rsid w:val="00696B56"/>
    <w:rsid w:val="006A02DD"/>
    <w:rsid w:val="006A0E5B"/>
    <w:rsid w:val="006A1887"/>
    <w:rsid w:val="006A2058"/>
    <w:rsid w:val="006A30E4"/>
    <w:rsid w:val="006A3B61"/>
    <w:rsid w:val="006A46A9"/>
    <w:rsid w:val="006A6F02"/>
    <w:rsid w:val="006A7886"/>
    <w:rsid w:val="006B1190"/>
    <w:rsid w:val="006B163D"/>
    <w:rsid w:val="006B27BE"/>
    <w:rsid w:val="006B2855"/>
    <w:rsid w:val="006B2937"/>
    <w:rsid w:val="006B3A3C"/>
    <w:rsid w:val="006B3D40"/>
    <w:rsid w:val="006B3E46"/>
    <w:rsid w:val="006B431A"/>
    <w:rsid w:val="006B4594"/>
    <w:rsid w:val="006B478E"/>
    <w:rsid w:val="006B4949"/>
    <w:rsid w:val="006B6638"/>
    <w:rsid w:val="006B75E1"/>
    <w:rsid w:val="006B773A"/>
    <w:rsid w:val="006B7D76"/>
    <w:rsid w:val="006C0018"/>
    <w:rsid w:val="006C0020"/>
    <w:rsid w:val="006C090F"/>
    <w:rsid w:val="006C0A80"/>
    <w:rsid w:val="006C19F1"/>
    <w:rsid w:val="006C2762"/>
    <w:rsid w:val="006C2892"/>
    <w:rsid w:val="006C2989"/>
    <w:rsid w:val="006C36A2"/>
    <w:rsid w:val="006C3BAB"/>
    <w:rsid w:val="006C3EC9"/>
    <w:rsid w:val="006C4316"/>
    <w:rsid w:val="006C4EFC"/>
    <w:rsid w:val="006C5208"/>
    <w:rsid w:val="006C56C3"/>
    <w:rsid w:val="006C69CD"/>
    <w:rsid w:val="006C6DCC"/>
    <w:rsid w:val="006C7EE0"/>
    <w:rsid w:val="006D05F7"/>
    <w:rsid w:val="006D0C54"/>
    <w:rsid w:val="006D2D71"/>
    <w:rsid w:val="006D3F84"/>
    <w:rsid w:val="006D4105"/>
    <w:rsid w:val="006D575A"/>
    <w:rsid w:val="006D5EA9"/>
    <w:rsid w:val="006D673B"/>
    <w:rsid w:val="006D769E"/>
    <w:rsid w:val="006D7A8F"/>
    <w:rsid w:val="006E09A1"/>
    <w:rsid w:val="006E142E"/>
    <w:rsid w:val="006E1F3C"/>
    <w:rsid w:val="006E1FFC"/>
    <w:rsid w:val="006E2C5D"/>
    <w:rsid w:val="006E2E6A"/>
    <w:rsid w:val="006E31B8"/>
    <w:rsid w:val="006E35C4"/>
    <w:rsid w:val="006E3660"/>
    <w:rsid w:val="006E3793"/>
    <w:rsid w:val="006E4D00"/>
    <w:rsid w:val="006E599E"/>
    <w:rsid w:val="006E59A9"/>
    <w:rsid w:val="006E7B5F"/>
    <w:rsid w:val="006F0EFA"/>
    <w:rsid w:val="006F1DB8"/>
    <w:rsid w:val="006F249C"/>
    <w:rsid w:val="006F2D07"/>
    <w:rsid w:val="006F310D"/>
    <w:rsid w:val="006F40E3"/>
    <w:rsid w:val="006F48A9"/>
    <w:rsid w:val="006F4B69"/>
    <w:rsid w:val="006F537A"/>
    <w:rsid w:val="006F6834"/>
    <w:rsid w:val="006F6AD0"/>
    <w:rsid w:val="006F7948"/>
    <w:rsid w:val="006F7D88"/>
    <w:rsid w:val="00700CCE"/>
    <w:rsid w:val="00700EB2"/>
    <w:rsid w:val="00701E34"/>
    <w:rsid w:val="00702505"/>
    <w:rsid w:val="007026D9"/>
    <w:rsid w:val="00702A8A"/>
    <w:rsid w:val="00703705"/>
    <w:rsid w:val="007044D9"/>
    <w:rsid w:val="00704812"/>
    <w:rsid w:val="0070519B"/>
    <w:rsid w:val="007073A7"/>
    <w:rsid w:val="00707642"/>
    <w:rsid w:val="00707D5E"/>
    <w:rsid w:val="0071069D"/>
    <w:rsid w:val="00710C34"/>
    <w:rsid w:val="007112D4"/>
    <w:rsid w:val="007112DB"/>
    <w:rsid w:val="0071133C"/>
    <w:rsid w:val="00712347"/>
    <w:rsid w:val="00712B3D"/>
    <w:rsid w:val="007136E1"/>
    <w:rsid w:val="00714AB8"/>
    <w:rsid w:val="00715415"/>
    <w:rsid w:val="00715CC2"/>
    <w:rsid w:val="00716254"/>
    <w:rsid w:val="0071651E"/>
    <w:rsid w:val="00716FA9"/>
    <w:rsid w:val="00717175"/>
    <w:rsid w:val="0071759B"/>
    <w:rsid w:val="00717C3B"/>
    <w:rsid w:val="00717D83"/>
    <w:rsid w:val="00720D71"/>
    <w:rsid w:val="00721B6F"/>
    <w:rsid w:val="00722D32"/>
    <w:rsid w:val="00723643"/>
    <w:rsid w:val="00723A70"/>
    <w:rsid w:val="00723B2C"/>
    <w:rsid w:val="00723E78"/>
    <w:rsid w:val="00724181"/>
    <w:rsid w:val="007241D9"/>
    <w:rsid w:val="00724C56"/>
    <w:rsid w:val="0072505C"/>
    <w:rsid w:val="007258D4"/>
    <w:rsid w:val="00726C0D"/>
    <w:rsid w:val="00726DB3"/>
    <w:rsid w:val="00730475"/>
    <w:rsid w:val="007305D2"/>
    <w:rsid w:val="00730EA7"/>
    <w:rsid w:val="007318EA"/>
    <w:rsid w:val="0073202A"/>
    <w:rsid w:val="007322BB"/>
    <w:rsid w:val="007337B3"/>
    <w:rsid w:val="00733D6C"/>
    <w:rsid w:val="00736731"/>
    <w:rsid w:val="00737EC2"/>
    <w:rsid w:val="00740B2A"/>
    <w:rsid w:val="00740CA2"/>
    <w:rsid w:val="00743B47"/>
    <w:rsid w:val="00744573"/>
    <w:rsid w:val="00744882"/>
    <w:rsid w:val="0074519F"/>
    <w:rsid w:val="0074546A"/>
    <w:rsid w:val="007459F8"/>
    <w:rsid w:val="00745ACA"/>
    <w:rsid w:val="0074678C"/>
    <w:rsid w:val="00746DFE"/>
    <w:rsid w:val="00746E7A"/>
    <w:rsid w:val="00747EE9"/>
    <w:rsid w:val="00750A80"/>
    <w:rsid w:val="00750BE9"/>
    <w:rsid w:val="00750C73"/>
    <w:rsid w:val="00750E23"/>
    <w:rsid w:val="0075100D"/>
    <w:rsid w:val="007515F4"/>
    <w:rsid w:val="007529E9"/>
    <w:rsid w:val="00752AD7"/>
    <w:rsid w:val="00753421"/>
    <w:rsid w:val="00753714"/>
    <w:rsid w:val="00753811"/>
    <w:rsid w:val="00753AEB"/>
    <w:rsid w:val="0075405E"/>
    <w:rsid w:val="007545A3"/>
    <w:rsid w:val="0075479B"/>
    <w:rsid w:val="00754D93"/>
    <w:rsid w:val="00754F3A"/>
    <w:rsid w:val="00755156"/>
    <w:rsid w:val="00755530"/>
    <w:rsid w:val="00755F77"/>
    <w:rsid w:val="007577ED"/>
    <w:rsid w:val="00760599"/>
    <w:rsid w:val="00761272"/>
    <w:rsid w:val="0076167D"/>
    <w:rsid w:val="00762F77"/>
    <w:rsid w:val="007633D8"/>
    <w:rsid w:val="0076358F"/>
    <w:rsid w:val="00763C3F"/>
    <w:rsid w:val="00763F8E"/>
    <w:rsid w:val="00764902"/>
    <w:rsid w:val="00764F8F"/>
    <w:rsid w:val="0076512A"/>
    <w:rsid w:val="0076522E"/>
    <w:rsid w:val="00765C81"/>
    <w:rsid w:val="00766B27"/>
    <w:rsid w:val="007672A4"/>
    <w:rsid w:val="007675D7"/>
    <w:rsid w:val="0077018D"/>
    <w:rsid w:val="00770FD9"/>
    <w:rsid w:val="00771008"/>
    <w:rsid w:val="007737CB"/>
    <w:rsid w:val="00775146"/>
    <w:rsid w:val="00775835"/>
    <w:rsid w:val="00775B78"/>
    <w:rsid w:val="00775DA0"/>
    <w:rsid w:val="00775FA4"/>
    <w:rsid w:val="007764CF"/>
    <w:rsid w:val="00777263"/>
    <w:rsid w:val="00780116"/>
    <w:rsid w:val="007801E2"/>
    <w:rsid w:val="0078028E"/>
    <w:rsid w:val="007803A0"/>
    <w:rsid w:val="007807A7"/>
    <w:rsid w:val="007809BC"/>
    <w:rsid w:val="00780D97"/>
    <w:rsid w:val="007820B0"/>
    <w:rsid w:val="0078292F"/>
    <w:rsid w:val="007829CF"/>
    <w:rsid w:val="00782D54"/>
    <w:rsid w:val="007830B0"/>
    <w:rsid w:val="00784E44"/>
    <w:rsid w:val="00785140"/>
    <w:rsid w:val="007870DD"/>
    <w:rsid w:val="00787AFB"/>
    <w:rsid w:val="0079025D"/>
    <w:rsid w:val="00790272"/>
    <w:rsid w:val="007903E8"/>
    <w:rsid w:val="007904A5"/>
    <w:rsid w:val="007909C9"/>
    <w:rsid w:val="00791513"/>
    <w:rsid w:val="00791965"/>
    <w:rsid w:val="00791FBB"/>
    <w:rsid w:val="007925B8"/>
    <w:rsid w:val="00792F8D"/>
    <w:rsid w:val="00794211"/>
    <w:rsid w:val="00794307"/>
    <w:rsid w:val="00795628"/>
    <w:rsid w:val="00795CF6"/>
    <w:rsid w:val="00795E16"/>
    <w:rsid w:val="00796831"/>
    <w:rsid w:val="007977F4"/>
    <w:rsid w:val="0079789F"/>
    <w:rsid w:val="007A0495"/>
    <w:rsid w:val="007A1090"/>
    <w:rsid w:val="007A21AE"/>
    <w:rsid w:val="007A2546"/>
    <w:rsid w:val="007A30A9"/>
    <w:rsid w:val="007A3525"/>
    <w:rsid w:val="007A40EB"/>
    <w:rsid w:val="007A5E0B"/>
    <w:rsid w:val="007A78E0"/>
    <w:rsid w:val="007B0E0E"/>
    <w:rsid w:val="007B140A"/>
    <w:rsid w:val="007B1AED"/>
    <w:rsid w:val="007B310D"/>
    <w:rsid w:val="007B3862"/>
    <w:rsid w:val="007B56EE"/>
    <w:rsid w:val="007B5F59"/>
    <w:rsid w:val="007B618E"/>
    <w:rsid w:val="007B670B"/>
    <w:rsid w:val="007B6A0E"/>
    <w:rsid w:val="007B6F5C"/>
    <w:rsid w:val="007C09F8"/>
    <w:rsid w:val="007C0E07"/>
    <w:rsid w:val="007C1273"/>
    <w:rsid w:val="007C201D"/>
    <w:rsid w:val="007C2CFC"/>
    <w:rsid w:val="007C2E70"/>
    <w:rsid w:val="007C3E64"/>
    <w:rsid w:val="007C4FE3"/>
    <w:rsid w:val="007C526D"/>
    <w:rsid w:val="007C5685"/>
    <w:rsid w:val="007C5F4C"/>
    <w:rsid w:val="007C6583"/>
    <w:rsid w:val="007D0658"/>
    <w:rsid w:val="007D0A39"/>
    <w:rsid w:val="007D0EA3"/>
    <w:rsid w:val="007D2A68"/>
    <w:rsid w:val="007D2DCF"/>
    <w:rsid w:val="007D33F5"/>
    <w:rsid w:val="007D3A1A"/>
    <w:rsid w:val="007D3C8C"/>
    <w:rsid w:val="007D406A"/>
    <w:rsid w:val="007D6049"/>
    <w:rsid w:val="007D6BE2"/>
    <w:rsid w:val="007E0D51"/>
    <w:rsid w:val="007E0DE2"/>
    <w:rsid w:val="007E0F71"/>
    <w:rsid w:val="007E1087"/>
    <w:rsid w:val="007E34AB"/>
    <w:rsid w:val="007E3641"/>
    <w:rsid w:val="007E39B2"/>
    <w:rsid w:val="007E5484"/>
    <w:rsid w:val="007E6CAA"/>
    <w:rsid w:val="007E7017"/>
    <w:rsid w:val="007E707E"/>
    <w:rsid w:val="007F01A7"/>
    <w:rsid w:val="007F0608"/>
    <w:rsid w:val="007F0C63"/>
    <w:rsid w:val="007F1B3D"/>
    <w:rsid w:val="007F1D7E"/>
    <w:rsid w:val="007F1EA0"/>
    <w:rsid w:val="007F2619"/>
    <w:rsid w:val="007F291E"/>
    <w:rsid w:val="007F2DFB"/>
    <w:rsid w:val="007F4AAB"/>
    <w:rsid w:val="007F4CB6"/>
    <w:rsid w:val="007F4FE7"/>
    <w:rsid w:val="007F57EE"/>
    <w:rsid w:val="007F5BC8"/>
    <w:rsid w:val="007F64F3"/>
    <w:rsid w:val="007F658E"/>
    <w:rsid w:val="007F6948"/>
    <w:rsid w:val="0080000E"/>
    <w:rsid w:val="00800809"/>
    <w:rsid w:val="00801266"/>
    <w:rsid w:val="008012F6"/>
    <w:rsid w:val="008031D9"/>
    <w:rsid w:val="008034B1"/>
    <w:rsid w:val="008036B0"/>
    <w:rsid w:val="00805888"/>
    <w:rsid w:val="00806443"/>
    <w:rsid w:val="0080673C"/>
    <w:rsid w:val="00807959"/>
    <w:rsid w:val="00811467"/>
    <w:rsid w:val="00811516"/>
    <w:rsid w:val="00811811"/>
    <w:rsid w:val="0081203C"/>
    <w:rsid w:val="00812094"/>
    <w:rsid w:val="0081288C"/>
    <w:rsid w:val="008140EC"/>
    <w:rsid w:val="00815619"/>
    <w:rsid w:val="008167BA"/>
    <w:rsid w:val="008167CB"/>
    <w:rsid w:val="008170D8"/>
    <w:rsid w:val="00817141"/>
    <w:rsid w:val="008174C9"/>
    <w:rsid w:val="00820808"/>
    <w:rsid w:val="00820BE1"/>
    <w:rsid w:val="008212DB"/>
    <w:rsid w:val="00823137"/>
    <w:rsid w:val="008248D7"/>
    <w:rsid w:val="00824F3C"/>
    <w:rsid w:val="00825E37"/>
    <w:rsid w:val="00826039"/>
    <w:rsid w:val="00827018"/>
    <w:rsid w:val="008273AC"/>
    <w:rsid w:val="008278E7"/>
    <w:rsid w:val="008301F5"/>
    <w:rsid w:val="00831D08"/>
    <w:rsid w:val="008327CF"/>
    <w:rsid w:val="00835067"/>
    <w:rsid w:val="008354AB"/>
    <w:rsid w:val="00836679"/>
    <w:rsid w:val="00837AB6"/>
    <w:rsid w:val="00837CD1"/>
    <w:rsid w:val="00837DE2"/>
    <w:rsid w:val="008414D9"/>
    <w:rsid w:val="008421F9"/>
    <w:rsid w:val="0084529D"/>
    <w:rsid w:val="00845D29"/>
    <w:rsid w:val="00846FC9"/>
    <w:rsid w:val="008470DE"/>
    <w:rsid w:val="00847190"/>
    <w:rsid w:val="00847AC9"/>
    <w:rsid w:val="00847D03"/>
    <w:rsid w:val="008503E3"/>
    <w:rsid w:val="00850691"/>
    <w:rsid w:val="00850809"/>
    <w:rsid w:val="00851179"/>
    <w:rsid w:val="008518EA"/>
    <w:rsid w:val="008518EE"/>
    <w:rsid w:val="008529B7"/>
    <w:rsid w:val="00853DF2"/>
    <w:rsid w:val="00853F34"/>
    <w:rsid w:val="00854569"/>
    <w:rsid w:val="008548C4"/>
    <w:rsid w:val="00854CF2"/>
    <w:rsid w:val="008569E4"/>
    <w:rsid w:val="00857653"/>
    <w:rsid w:val="0085781E"/>
    <w:rsid w:val="00857BF8"/>
    <w:rsid w:val="00860B54"/>
    <w:rsid w:val="0086231D"/>
    <w:rsid w:val="00862AAF"/>
    <w:rsid w:val="00862CDA"/>
    <w:rsid w:val="00863246"/>
    <w:rsid w:val="00863610"/>
    <w:rsid w:val="00863A32"/>
    <w:rsid w:val="00864B64"/>
    <w:rsid w:val="00864E0E"/>
    <w:rsid w:val="00865A5E"/>
    <w:rsid w:val="00865B7B"/>
    <w:rsid w:val="00866ABB"/>
    <w:rsid w:val="00870B14"/>
    <w:rsid w:val="00871882"/>
    <w:rsid w:val="00872184"/>
    <w:rsid w:val="00873B44"/>
    <w:rsid w:val="00874EE9"/>
    <w:rsid w:val="008761BA"/>
    <w:rsid w:val="00876967"/>
    <w:rsid w:val="00876F44"/>
    <w:rsid w:val="008814AD"/>
    <w:rsid w:val="00882285"/>
    <w:rsid w:val="00882334"/>
    <w:rsid w:val="0088297F"/>
    <w:rsid w:val="00882E22"/>
    <w:rsid w:val="0088402C"/>
    <w:rsid w:val="00884A38"/>
    <w:rsid w:val="008851CE"/>
    <w:rsid w:val="00886382"/>
    <w:rsid w:val="00886607"/>
    <w:rsid w:val="00887D58"/>
    <w:rsid w:val="008914B8"/>
    <w:rsid w:val="00891859"/>
    <w:rsid w:val="00891AC4"/>
    <w:rsid w:val="008922FC"/>
    <w:rsid w:val="0089336B"/>
    <w:rsid w:val="00893373"/>
    <w:rsid w:val="008933E0"/>
    <w:rsid w:val="00893C7D"/>
    <w:rsid w:val="00894160"/>
    <w:rsid w:val="008952EE"/>
    <w:rsid w:val="0089555A"/>
    <w:rsid w:val="00895B6A"/>
    <w:rsid w:val="0089640F"/>
    <w:rsid w:val="00896C45"/>
    <w:rsid w:val="00897480"/>
    <w:rsid w:val="00897E54"/>
    <w:rsid w:val="008A0A58"/>
    <w:rsid w:val="008A125F"/>
    <w:rsid w:val="008A20B3"/>
    <w:rsid w:val="008A2B96"/>
    <w:rsid w:val="008A324F"/>
    <w:rsid w:val="008A35F6"/>
    <w:rsid w:val="008A36D5"/>
    <w:rsid w:val="008A37FF"/>
    <w:rsid w:val="008A3E5E"/>
    <w:rsid w:val="008A4876"/>
    <w:rsid w:val="008A4D71"/>
    <w:rsid w:val="008A5250"/>
    <w:rsid w:val="008A53DD"/>
    <w:rsid w:val="008A6543"/>
    <w:rsid w:val="008A72D9"/>
    <w:rsid w:val="008A7BF7"/>
    <w:rsid w:val="008A7CCB"/>
    <w:rsid w:val="008B0A99"/>
    <w:rsid w:val="008B0D0D"/>
    <w:rsid w:val="008B11B0"/>
    <w:rsid w:val="008B18F6"/>
    <w:rsid w:val="008B1CAA"/>
    <w:rsid w:val="008B2269"/>
    <w:rsid w:val="008B267D"/>
    <w:rsid w:val="008B285D"/>
    <w:rsid w:val="008B2BD2"/>
    <w:rsid w:val="008B3495"/>
    <w:rsid w:val="008B3677"/>
    <w:rsid w:val="008B42BF"/>
    <w:rsid w:val="008B6625"/>
    <w:rsid w:val="008B73F3"/>
    <w:rsid w:val="008B78EC"/>
    <w:rsid w:val="008B7998"/>
    <w:rsid w:val="008C018D"/>
    <w:rsid w:val="008C05DA"/>
    <w:rsid w:val="008C1B1D"/>
    <w:rsid w:val="008C1CBF"/>
    <w:rsid w:val="008C2545"/>
    <w:rsid w:val="008C346A"/>
    <w:rsid w:val="008C3934"/>
    <w:rsid w:val="008C3AE0"/>
    <w:rsid w:val="008C3ED8"/>
    <w:rsid w:val="008C437C"/>
    <w:rsid w:val="008C4E43"/>
    <w:rsid w:val="008C5530"/>
    <w:rsid w:val="008C5650"/>
    <w:rsid w:val="008C66C4"/>
    <w:rsid w:val="008C6D56"/>
    <w:rsid w:val="008C729E"/>
    <w:rsid w:val="008C7A43"/>
    <w:rsid w:val="008C7D7D"/>
    <w:rsid w:val="008C7D97"/>
    <w:rsid w:val="008C7EE6"/>
    <w:rsid w:val="008D094B"/>
    <w:rsid w:val="008D1238"/>
    <w:rsid w:val="008D1302"/>
    <w:rsid w:val="008D1EE8"/>
    <w:rsid w:val="008D202F"/>
    <w:rsid w:val="008D2F56"/>
    <w:rsid w:val="008D35EA"/>
    <w:rsid w:val="008D3A15"/>
    <w:rsid w:val="008D3DEC"/>
    <w:rsid w:val="008D5770"/>
    <w:rsid w:val="008D5CED"/>
    <w:rsid w:val="008D6EA5"/>
    <w:rsid w:val="008D73F5"/>
    <w:rsid w:val="008E0626"/>
    <w:rsid w:val="008E0D8C"/>
    <w:rsid w:val="008E12EA"/>
    <w:rsid w:val="008E1878"/>
    <w:rsid w:val="008E1FA9"/>
    <w:rsid w:val="008E204D"/>
    <w:rsid w:val="008E2B28"/>
    <w:rsid w:val="008E3BFD"/>
    <w:rsid w:val="008E3C1B"/>
    <w:rsid w:val="008E3F51"/>
    <w:rsid w:val="008E4021"/>
    <w:rsid w:val="008E4619"/>
    <w:rsid w:val="008E48C4"/>
    <w:rsid w:val="008E60F8"/>
    <w:rsid w:val="008E644F"/>
    <w:rsid w:val="008E7039"/>
    <w:rsid w:val="008E705E"/>
    <w:rsid w:val="008F0160"/>
    <w:rsid w:val="008F04DF"/>
    <w:rsid w:val="008F15C9"/>
    <w:rsid w:val="008F1DF9"/>
    <w:rsid w:val="008F20A9"/>
    <w:rsid w:val="008F22D4"/>
    <w:rsid w:val="008F389F"/>
    <w:rsid w:val="008F3BF8"/>
    <w:rsid w:val="008F4124"/>
    <w:rsid w:val="008F506B"/>
    <w:rsid w:val="008F5AF1"/>
    <w:rsid w:val="008F66B9"/>
    <w:rsid w:val="008F6A81"/>
    <w:rsid w:val="008F74BF"/>
    <w:rsid w:val="00900883"/>
    <w:rsid w:val="00901074"/>
    <w:rsid w:val="00901770"/>
    <w:rsid w:val="00901904"/>
    <w:rsid w:val="00901CE6"/>
    <w:rsid w:val="00901D9F"/>
    <w:rsid w:val="00902552"/>
    <w:rsid w:val="00902CE2"/>
    <w:rsid w:val="0090382D"/>
    <w:rsid w:val="00903DC8"/>
    <w:rsid w:val="00904995"/>
    <w:rsid w:val="009050D3"/>
    <w:rsid w:val="0090541E"/>
    <w:rsid w:val="009054CA"/>
    <w:rsid w:val="0090653C"/>
    <w:rsid w:val="009067B9"/>
    <w:rsid w:val="00906DA1"/>
    <w:rsid w:val="009070BC"/>
    <w:rsid w:val="00907406"/>
    <w:rsid w:val="00907ADF"/>
    <w:rsid w:val="009108E5"/>
    <w:rsid w:val="00910E23"/>
    <w:rsid w:val="00911AA5"/>
    <w:rsid w:val="00912A6C"/>
    <w:rsid w:val="00912DB9"/>
    <w:rsid w:val="00912E1E"/>
    <w:rsid w:val="00913885"/>
    <w:rsid w:val="009140A4"/>
    <w:rsid w:val="00914A3B"/>
    <w:rsid w:val="00914DB9"/>
    <w:rsid w:val="009152DA"/>
    <w:rsid w:val="009158AE"/>
    <w:rsid w:val="00916EC8"/>
    <w:rsid w:val="00917008"/>
    <w:rsid w:val="00917444"/>
    <w:rsid w:val="009178B5"/>
    <w:rsid w:val="00920545"/>
    <w:rsid w:val="00920970"/>
    <w:rsid w:val="00920F02"/>
    <w:rsid w:val="0092144C"/>
    <w:rsid w:val="00921835"/>
    <w:rsid w:val="0092286B"/>
    <w:rsid w:val="00923528"/>
    <w:rsid w:val="00925F7C"/>
    <w:rsid w:val="00925F8A"/>
    <w:rsid w:val="00926F37"/>
    <w:rsid w:val="0092749A"/>
    <w:rsid w:val="009274C6"/>
    <w:rsid w:val="0092787E"/>
    <w:rsid w:val="009278BA"/>
    <w:rsid w:val="00927A9D"/>
    <w:rsid w:val="00927E01"/>
    <w:rsid w:val="0093222B"/>
    <w:rsid w:val="00932B10"/>
    <w:rsid w:val="00933273"/>
    <w:rsid w:val="0093371C"/>
    <w:rsid w:val="009338A1"/>
    <w:rsid w:val="009377D5"/>
    <w:rsid w:val="00940503"/>
    <w:rsid w:val="00941A90"/>
    <w:rsid w:val="00942CA2"/>
    <w:rsid w:val="00942E1C"/>
    <w:rsid w:val="00945392"/>
    <w:rsid w:val="00945B8B"/>
    <w:rsid w:val="00945BC1"/>
    <w:rsid w:val="00947DD0"/>
    <w:rsid w:val="009504CA"/>
    <w:rsid w:val="00951028"/>
    <w:rsid w:val="00951202"/>
    <w:rsid w:val="00952A14"/>
    <w:rsid w:val="00952BA6"/>
    <w:rsid w:val="009530E8"/>
    <w:rsid w:val="0095400A"/>
    <w:rsid w:val="00955B9A"/>
    <w:rsid w:val="0095660B"/>
    <w:rsid w:val="00957448"/>
    <w:rsid w:val="009575DE"/>
    <w:rsid w:val="00961702"/>
    <w:rsid w:val="00961A25"/>
    <w:rsid w:val="00961B4D"/>
    <w:rsid w:val="0096265D"/>
    <w:rsid w:val="0096307E"/>
    <w:rsid w:val="009641CE"/>
    <w:rsid w:val="0096442C"/>
    <w:rsid w:val="00964F37"/>
    <w:rsid w:val="009652CF"/>
    <w:rsid w:val="00965EA6"/>
    <w:rsid w:val="00966D3B"/>
    <w:rsid w:val="00966DB0"/>
    <w:rsid w:val="0096701F"/>
    <w:rsid w:val="00970C9B"/>
    <w:rsid w:val="00970CA2"/>
    <w:rsid w:val="00972815"/>
    <w:rsid w:val="00972C89"/>
    <w:rsid w:val="00973E38"/>
    <w:rsid w:val="00974863"/>
    <w:rsid w:val="0097532D"/>
    <w:rsid w:val="00976110"/>
    <w:rsid w:val="00977A77"/>
    <w:rsid w:val="0098038D"/>
    <w:rsid w:val="00980860"/>
    <w:rsid w:val="00981339"/>
    <w:rsid w:val="00982160"/>
    <w:rsid w:val="0098283E"/>
    <w:rsid w:val="009831F7"/>
    <w:rsid w:val="00985605"/>
    <w:rsid w:val="00985E92"/>
    <w:rsid w:val="009863AD"/>
    <w:rsid w:val="009866A8"/>
    <w:rsid w:val="0098757E"/>
    <w:rsid w:val="00987EBB"/>
    <w:rsid w:val="009900D2"/>
    <w:rsid w:val="00990277"/>
    <w:rsid w:val="009916FC"/>
    <w:rsid w:val="00991904"/>
    <w:rsid w:val="00991D9E"/>
    <w:rsid w:val="00992D3B"/>
    <w:rsid w:val="00993155"/>
    <w:rsid w:val="009938CB"/>
    <w:rsid w:val="009946DE"/>
    <w:rsid w:val="009948BC"/>
    <w:rsid w:val="009959A5"/>
    <w:rsid w:val="00996376"/>
    <w:rsid w:val="0099658A"/>
    <w:rsid w:val="00997A9C"/>
    <w:rsid w:val="009A00AC"/>
    <w:rsid w:val="009A22F2"/>
    <w:rsid w:val="009A2DA1"/>
    <w:rsid w:val="009A32E6"/>
    <w:rsid w:val="009A4646"/>
    <w:rsid w:val="009A55AA"/>
    <w:rsid w:val="009A717C"/>
    <w:rsid w:val="009A7D40"/>
    <w:rsid w:val="009B0780"/>
    <w:rsid w:val="009B0EBB"/>
    <w:rsid w:val="009B1392"/>
    <w:rsid w:val="009B2C2A"/>
    <w:rsid w:val="009B2EDF"/>
    <w:rsid w:val="009B3B4A"/>
    <w:rsid w:val="009B5F34"/>
    <w:rsid w:val="009B6617"/>
    <w:rsid w:val="009B6EA3"/>
    <w:rsid w:val="009B7F34"/>
    <w:rsid w:val="009C04CF"/>
    <w:rsid w:val="009C05D2"/>
    <w:rsid w:val="009C0C27"/>
    <w:rsid w:val="009C0FAD"/>
    <w:rsid w:val="009C13A1"/>
    <w:rsid w:val="009C13F3"/>
    <w:rsid w:val="009C186C"/>
    <w:rsid w:val="009C1A41"/>
    <w:rsid w:val="009C316A"/>
    <w:rsid w:val="009C33C1"/>
    <w:rsid w:val="009C3A15"/>
    <w:rsid w:val="009C4D09"/>
    <w:rsid w:val="009C54C7"/>
    <w:rsid w:val="009C55DB"/>
    <w:rsid w:val="009C568D"/>
    <w:rsid w:val="009C5C10"/>
    <w:rsid w:val="009C64A8"/>
    <w:rsid w:val="009C69F2"/>
    <w:rsid w:val="009C74D0"/>
    <w:rsid w:val="009C7766"/>
    <w:rsid w:val="009C7F42"/>
    <w:rsid w:val="009D02EE"/>
    <w:rsid w:val="009D1807"/>
    <w:rsid w:val="009D1E62"/>
    <w:rsid w:val="009D1F89"/>
    <w:rsid w:val="009D20CA"/>
    <w:rsid w:val="009D26B2"/>
    <w:rsid w:val="009D2FCE"/>
    <w:rsid w:val="009D30C2"/>
    <w:rsid w:val="009D37F4"/>
    <w:rsid w:val="009D3A1A"/>
    <w:rsid w:val="009D3A41"/>
    <w:rsid w:val="009D5412"/>
    <w:rsid w:val="009D57AC"/>
    <w:rsid w:val="009D635B"/>
    <w:rsid w:val="009D6CE1"/>
    <w:rsid w:val="009E112C"/>
    <w:rsid w:val="009E12A8"/>
    <w:rsid w:val="009E1830"/>
    <w:rsid w:val="009E21E4"/>
    <w:rsid w:val="009E2453"/>
    <w:rsid w:val="009E2758"/>
    <w:rsid w:val="009E33FC"/>
    <w:rsid w:val="009E4599"/>
    <w:rsid w:val="009E5543"/>
    <w:rsid w:val="009E58E5"/>
    <w:rsid w:val="009E6A48"/>
    <w:rsid w:val="009E6CF0"/>
    <w:rsid w:val="009E6F7C"/>
    <w:rsid w:val="009F00AB"/>
    <w:rsid w:val="009F03F2"/>
    <w:rsid w:val="009F09A8"/>
    <w:rsid w:val="009F11C0"/>
    <w:rsid w:val="009F12C0"/>
    <w:rsid w:val="009F1792"/>
    <w:rsid w:val="009F4112"/>
    <w:rsid w:val="009F480C"/>
    <w:rsid w:val="009F4A0B"/>
    <w:rsid w:val="009F57AA"/>
    <w:rsid w:val="009F5A74"/>
    <w:rsid w:val="009F5BEE"/>
    <w:rsid w:val="009F5CBD"/>
    <w:rsid w:val="009F6AF3"/>
    <w:rsid w:val="009F6DA2"/>
    <w:rsid w:val="009F785C"/>
    <w:rsid w:val="009F7E7C"/>
    <w:rsid w:val="00A004A0"/>
    <w:rsid w:val="00A008C3"/>
    <w:rsid w:val="00A00C5C"/>
    <w:rsid w:val="00A01194"/>
    <w:rsid w:val="00A014B7"/>
    <w:rsid w:val="00A01F96"/>
    <w:rsid w:val="00A028E7"/>
    <w:rsid w:val="00A0299C"/>
    <w:rsid w:val="00A02C11"/>
    <w:rsid w:val="00A02D51"/>
    <w:rsid w:val="00A03D1D"/>
    <w:rsid w:val="00A048DC"/>
    <w:rsid w:val="00A04F25"/>
    <w:rsid w:val="00A0652B"/>
    <w:rsid w:val="00A06540"/>
    <w:rsid w:val="00A06A67"/>
    <w:rsid w:val="00A073DC"/>
    <w:rsid w:val="00A074A6"/>
    <w:rsid w:val="00A07C5A"/>
    <w:rsid w:val="00A10931"/>
    <w:rsid w:val="00A10ABD"/>
    <w:rsid w:val="00A11ECC"/>
    <w:rsid w:val="00A1221D"/>
    <w:rsid w:val="00A1229B"/>
    <w:rsid w:val="00A13250"/>
    <w:rsid w:val="00A13B86"/>
    <w:rsid w:val="00A17335"/>
    <w:rsid w:val="00A1789B"/>
    <w:rsid w:val="00A220DF"/>
    <w:rsid w:val="00A227CD"/>
    <w:rsid w:val="00A23067"/>
    <w:rsid w:val="00A2322E"/>
    <w:rsid w:val="00A23C8D"/>
    <w:rsid w:val="00A2453B"/>
    <w:rsid w:val="00A257C1"/>
    <w:rsid w:val="00A2603C"/>
    <w:rsid w:val="00A263BF"/>
    <w:rsid w:val="00A27972"/>
    <w:rsid w:val="00A27C82"/>
    <w:rsid w:val="00A30037"/>
    <w:rsid w:val="00A307FE"/>
    <w:rsid w:val="00A30F09"/>
    <w:rsid w:val="00A31842"/>
    <w:rsid w:val="00A31DA5"/>
    <w:rsid w:val="00A31F22"/>
    <w:rsid w:val="00A32FC8"/>
    <w:rsid w:val="00A33157"/>
    <w:rsid w:val="00A338B2"/>
    <w:rsid w:val="00A339AE"/>
    <w:rsid w:val="00A34372"/>
    <w:rsid w:val="00A34FF9"/>
    <w:rsid w:val="00A35EC5"/>
    <w:rsid w:val="00A36805"/>
    <w:rsid w:val="00A37C77"/>
    <w:rsid w:val="00A40069"/>
    <w:rsid w:val="00A408B8"/>
    <w:rsid w:val="00A40A8E"/>
    <w:rsid w:val="00A40BFD"/>
    <w:rsid w:val="00A4246D"/>
    <w:rsid w:val="00A43A82"/>
    <w:rsid w:val="00A45508"/>
    <w:rsid w:val="00A459CD"/>
    <w:rsid w:val="00A463AE"/>
    <w:rsid w:val="00A474E5"/>
    <w:rsid w:val="00A50E6C"/>
    <w:rsid w:val="00A50F28"/>
    <w:rsid w:val="00A510EC"/>
    <w:rsid w:val="00A515F7"/>
    <w:rsid w:val="00A51A58"/>
    <w:rsid w:val="00A53111"/>
    <w:rsid w:val="00A532C6"/>
    <w:rsid w:val="00A53B40"/>
    <w:rsid w:val="00A53BB0"/>
    <w:rsid w:val="00A543B7"/>
    <w:rsid w:val="00A544E0"/>
    <w:rsid w:val="00A5600F"/>
    <w:rsid w:val="00A563CF"/>
    <w:rsid w:val="00A56C24"/>
    <w:rsid w:val="00A6085E"/>
    <w:rsid w:val="00A6160C"/>
    <w:rsid w:val="00A61D6D"/>
    <w:rsid w:val="00A61F40"/>
    <w:rsid w:val="00A61F9F"/>
    <w:rsid w:val="00A62E5C"/>
    <w:rsid w:val="00A63FBD"/>
    <w:rsid w:val="00A65B4A"/>
    <w:rsid w:val="00A65E71"/>
    <w:rsid w:val="00A66C6B"/>
    <w:rsid w:val="00A66EDD"/>
    <w:rsid w:val="00A70135"/>
    <w:rsid w:val="00A713A1"/>
    <w:rsid w:val="00A7359A"/>
    <w:rsid w:val="00A73D23"/>
    <w:rsid w:val="00A73D2F"/>
    <w:rsid w:val="00A73E8A"/>
    <w:rsid w:val="00A74677"/>
    <w:rsid w:val="00A757FF"/>
    <w:rsid w:val="00A75EF5"/>
    <w:rsid w:val="00A76B9A"/>
    <w:rsid w:val="00A76CCE"/>
    <w:rsid w:val="00A77B14"/>
    <w:rsid w:val="00A77FC2"/>
    <w:rsid w:val="00A809D6"/>
    <w:rsid w:val="00A8167B"/>
    <w:rsid w:val="00A81B44"/>
    <w:rsid w:val="00A82A87"/>
    <w:rsid w:val="00A83A52"/>
    <w:rsid w:val="00A8408B"/>
    <w:rsid w:val="00A86D86"/>
    <w:rsid w:val="00A86F38"/>
    <w:rsid w:val="00A87166"/>
    <w:rsid w:val="00A8791A"/>
    <w:rsid w:val="00A904B3"/>
    <w:rsid w:val="00A91BBB"/>
    <w:rsid w:val="00A91EFE"/>
    <w:rsid w:val="00A91F05"/>
    <w:rsid w:val="00A92200"/>
    <w:rsid w:val="00A93331"/>
    <w:rsid w:val="00A9444B"/>
    <w:rsid w:val="00A9474B"/>
    <w:rsid w:val="00A96744"/>
    <w:rsid w:val="00AA077D"/>
    <w:rsid w:val="00AA0942"/>
    <w:rsid w:val="00AA0AB0"/>
    <w:rsid w:val="00AA2125"/>
    <w:rsid w:val="00AA39AD"/>
    <w:rsid w:val="00AA423E"/>
    <w:rsid w:val="00AA4266"/>
    <w:rsid w:val="00AA49E6"/>
    <w:rsid w:val="00AA59CA"/>
    <w:rsid w:val="00AA643A"/>
    <w:rsid w:val="00AA66EC"/>
    <w:rsid w:val="00AA6EAE"/>
    <w:rsid w:val="00AA7B8C"/>
    <w:rsid w:val="00AB0E7B"/>
    <w:rsid w:val="00AB10E8"/>
    <w:rsid w:val="00AB1494"/>
    <w:rsid w:val="00AB1FB3"/>
    <w:rsid w:val="00AB3007"/>
    <w:rsid w:val="00AB3EF0"/>
    <w:rsid w:val="00AB5ABA"/>
    <w:rsid w:val="00AB68B9"/>
    <w:rsid w:val="00AB70E7"/>
    <w:rsid w:val="00AB71C9"/>
    <w:rsid w:val="00AB72C2"/>
    <w:rsid w:val="00AB783D"/>
    <w:rsid w:val="00AB7BB5"/>
    <w:rsid w:val="00AC1467"/>
    <w:rsid w:val="00AC1935"/>
    <w:rsid w:val="00AC1955"/>
    <w:rsid w:val="00AC2090"/>
    <w:rsid w:val="00AC2323"/>
    <w:rsid w:val="00AC2940"/>
    <w:rsid w:val="00AC2FDA"/>
    <w:rsid w:val="00AC3359"/>
    <w:rsid w:val="00AC3955"/>
    <w:rsid w:val="00AC4653"/>
    <w:rsid w:val="00AC4656"/>
    <w:rsid w:val="00AC483A"/>
    <w:rsid w:val="00AC621B"/>
    <w:rsid w:val="00AC6676"/>
    <w:rsid w:val="00AC69B8"/>
    <w:rsid w:val="00AC7133"/>
    <w:rsid w:val="00AD0033"/>
    <w:rsid w:val="00AD0685"/>
    <w:rsid w:val="00AD079F"/>
    <w:rsid w:val="00AD2B9B"/>
    <w:rsid w:val="00AD4827"/>
    <w:rsid w:val="00AD5A83"/>
    <w:rsid w:val="00AD664D"/>
    <w:rsid w:val="00AD6CAB"/>
    <w:rsid w:val="00AD7115"/>
    <w:rsid w:val="00AD71CB"/>
    <w:rsid w:val="00AE1F50"/>
    <w:rsid w:val="00AE2497"/>
    <w:rsid w:val="00AE28E2"/>
    <w:rsid w:val="00AE29C1"/>
    <w:rsid w:val="00AE2CAC"/>
    <w:rsid w:val="00AE2DFD"/>
    <w:rsid w:val="00AE3D49"/>
    <w:rsid w:val="00AE3F4C"/>
    <w:rsid w:val="00AE438F"/>
    <w:rsid w:val="00AE4410"/>
    <w:rsid w:val="00AE47C6"/>
    <w:rsid w:val="00AE59A1"/>
    <w:rsid w:val="00AE6944"/>
    <w:rsid w:val="00AE7013"/>
    <w:rsid w:val="00AE70B6"/>
    <w:rsid w:val="00AE7126"/>
    <w:rsid w:val="00AE74D2"/>
    <w:rsid w:val="00AE7D88"/>
    <w:rsid w:val="00AF26A9"/>
    <w:rsid w:val="00AF3549"/>
    <w:rsid w:val="00AF4930"/>
    <w:rsid w:val="00AF5D55"/>
    <w:rsid w:val="00AF5EA0"/>
    <w:rsid w:val="00AF730B"/>
    <w:rsid w:val="00B0196C"/>
    <w:rsid w:val="00B03278"/>
    <w:rsid w:val="00B03961"/>
    <w:rsid w:val="00B03F18"/>
    <w:rsid w:val="00B04A5B"/>
    <w:rsid w:val="00B04AC9"/>
    <w:rsid w:val="00B0532D"/>
    <w:rsid w:val="00B05613"/>
    <w:rsid w:val="00B06250"/>
    <w:rsid w:val="00B064F3"/>
    <w:rsid w:val="00B0708C"/>
    <w:rsid w:val="00B07AB4"/>
    <w:rsid w:val="00B07C9B"/>
    <w:rsid w:val="00B07DAA"/>
    <w:rsid w:val="00B07E3B"/>
    <w:rsid w:val="00B07F49"/>
    <w:rsid w:val="00B107FE"/>
    <w:rsid w:val="00B1123F"/>
    <w:rsid w:val="00B1317D"/>
    <w:rsid w:val="00B13670"/>
    <w:rsid w:val="00B1397D"/>
    <w:rsid w:val="00B13D1E"/>
    <w:rsid w:val="00B15582"/>
    <w:rsid w:val="00B160BF"/>
    <w:rsid w:val="00B1650A"/>
    <w:rsid w:val="00B17163"/>
    <w:rsid w:val="00B17AF0"/>
    <w:rsid w:val="00B2151A"/>
    <w:rsid w:val="00B23995"/>
    <w:rsid w:val="00B23E69"/>
    <w:rsid w:val="00B25849"/>
    <w:rsid w:val="00B25CD2"/>
    <w:rsid w:val="00B25E60"/>
    <w:rsid w:val="00B265AE"/>
    <w:rsid w:val="00B26F9E"/>
    <w:rsid w:val="00B308AC"/>
    <w:rsid w:val="00B31F58"/>
    <w:rsid w:val="00B32207"/>
    <w:rsid w:val="00B32EE6"/>
    <w:rsid w:val="00B3475C"/>
    <w:rsid w:val="00B3496B"/>
    <w:rsid w:val="00B34A68"/>
    <w:rsid w:val="00B34EA8"/>
    <w:rsid w:val="00B35925"/>
    <w:rsid w:val="00B35AA7"/>
    <w:rsid w:val="00B35EA4"/>
    <w:rsid w:val="00B364E5"/>
    <w:rsid w:val="00B37599"/>
    <w:rsid w:val="00B3789E"/>
    <w:rsid w:val="00B40B54"/>
    <w:rsid w:val="00B43305"/>
    <w:rsid w:val="00B44BBA"/>
    <w:rsid w:val="00B44FC1"/>
    <w:rsid w:val="00B459E8"/>
    <w:rsid w:val="00B45CAB"/>
    <w:rsid w:val="00B463F9"/>
    <w:rsid w:val="00B467B3"/>
    <w:rsid w:val="00B46A00"/>
    <w:rsid w:val="00B4758D"/>
    <w:rsid w:val="00B5028A"/>
    <w:rsid w:val="00B502E0"/>
    <w:rsid w:val="00B5093A"/>
    <w:rsid w:val="00B51370"/>
    <w:rsid w:val="00B521A5"/>
    <w:rsid w:val="00B52400"/>
    <w:rsid w:val="00B52C71"/>
    <w:rsid w:val="00B53561"/>
    <w:rsid w:val="00B538E5"/>
    <w:rsid w:val="00B53F29"/>
    <w:rsid w:val="00B54A21"/>
    <w:rsid w:val="00B55030"/>
    <w:rsid w:val="00B553A4"/>
    <w:rsid w:val="00B553DD"/>
    <w:rsid w:val="00B55535"/>
    <w:rsid w:val="00B5727B"/>
    <w:rsid w:val="00B57F87"/>
    <w:rsid w:val="00B60809"/>
    <w:rsid w:val="00B60D0E"/>
    <w:rsid w:val="00B60E97"/>
    <w:rsid w:val="00B61071"/>
    <w:rsid w:val="00B61D49"/>
    <w:rsid w:val="00B628BC"/>
    <w:rsid w:val="00B6319A"/>
    <w:rsid w:val="00B63753"/>
    <w:rsid w:val="00B6576A"/>
    <w:rsid w:val="00B659D4"/>
    <w:rsid w:val="00B66048"/>
    <w:rsid w:val="00B67463"/>
    <w:rsid w:val="00B6795D"/>
    <w:rsid w:val="00B702AF"/>
    <w:rsid w:val="00B7133D"/>
    <w:rsid w:val="00B71F76"/>
    <w:rsid w:val="00B72E7C"/>
    <w:rsid w:val="00B73534"/>
    <w:rsid w:val="00B740D9"/>
    <w:rsid w:val="00B74229"/>
    <w:rsid w:val="00B747B9"/>
    <w:rsid w:val="00B74B41"/>
    <w:rsid w:val="00B754AB"/>
    <w:rsid w:val="00B75C75"/>
    <w:rsid w:val="00B761B0"/>
    <w:rsid w:val="00B76553"/>
    <w:rsid w:val="00B77D80"/>
    <w:rsid w:val="00B81310"/>
    <w:rsid w:val="00B81497"/>
    <w:rsid w:val="00B82373"/>
    <w:rsid w:val="00B82533"/>
    <w:rsid w:val="00B82E82"/>
    <w:rsid w:val="00B83784"/>
    <w:rsid w:val="00B84479"/>
    <w:rsid w:val="00B84FD8"/>
    <w:rsid w:val="00B85461"/>
    <w:rsid w:val="00B86A42"/>
    <w:rsid w:val="00B87536"/>
    <w:rsid w:val="00B8754E"/>
    <w:rsid w:val="00B87BB7"/>
    <w:rsid w:val="00B87F60"/>
    <w:rsid w:val="00B90367"/>
    <w:rsid w:val="00B90D94"/>
    <w:rsid w:val="00B91068"/>
    <w:rsid w:val="00B91B86"/>
    <w:rsid w:val="00B91C65"/>
    <w:rsid w:val="00B91E43"/>
    <w:rsid w:val="00B92489"/>
    <w:rsid w:val="00B930C6"/>
    <w:rsid w:val="00B94555"/>
    <w:rsid w:val="00B95E77"/>
    <w:rsid w:val="00B96172"/>
    <w:rsid w:val="00B9663C"/>
    <w:rsid w:val="00B96927"/>
    <w:rsid w:val="00B96D02"/>
    <w:rsid w:val="00B96FE3"/>
    <w:rsid w:val="00BA06E7"/>
    <w:rsid w:val="00BA3ECD"/>
    <w:rsid w:val="00BA5E5E"/>
    <w:rsid w:val="00BA63D3"/>
    <w:rsid w:val="00BA69FD"/>
    <w:rsid w:val="00BA6BA7"/>
    <w:rsid w:val="00BA786D"/>
    <w:rsid w:val="00BA7E37"/>
    <w:rsid w:val="00BB012A"/>
    <w:rsid w:val="00BB0F13"/>
    <w:rsid w:val="00BB0FF9"/>
    <w:rsid w:val="00BB1B68"/>
    <w:rsid w:val="00BB2075"/>
    <w:rsid w:val="00BB2B0B"/>
    <w:rsid w:val="00BB3AF1"/>
    <w:rsid w:val="00BB4681"/>
    <w:rsid w:val="00BB49AE"/>
    <w:rsid w:val="00BB5AD5"/>
    <w:rsid w:val="00BB5BF1"/>
    <w:rsid w:val="00BB6CEE"/>
    <w:rsid w:val="00BB7506"/>
    <w:rsid w:val="00BB7B5D"/>
    <w:rsid w:val="00BC0F3D"/>
    <w:rsid w:val="00BC0FF9"/>
    <w:rsid w:val="00BC2312"/>
    <w:rsid w:val="00BC2A69"/>
    <w:rsid w:val="00BC2FC4"/>
    <w:rsid w:val="00BC34C3"/>
    <w:rsid w:val="00BC42A9"/>
    <w:rsid w:val="00BC4913"/>
    <w:rsid w:val="00BC4E94"/>
    <w:rsid w:val="00BC553A"/>
    <w:rsid w:val="00BC5B48"/>
    <w:rsid w:val="00BC6C9D"/>
    <w:rsid w:val="00BC6E9F"/>
    <w:rsid w:val="00BC7367"/>
    <w:rsid w:val="00BD0724"/>
    <w:rsid w:val="00BD08E9"/>
    <w:rsid w:val="00BD0D56"/>
    <w:rsid w:val="00BD0E55"/>
    <w:rsid w:val="00BD0EFA"/>
    <w:rsid w:val="00BD12CD"/>
    <w:rsid w:val="00BD19EC"/>
    <w:rsid w:val="00BD2603"/>
    <w:rsid w:val="00BD3AC0"/>
    <w:rsid w:val="00BD3E4E"/>
    <w:rsid w:val="00BD3E8E"/>
    <w:rsid w:val="00BD58B7"/>
    <w:rsid w:val="00BD69CB"/>
    <w:rsid w:val="00BD6FAD"/>
    <w:rsid w:val="00BE0A24"/>
    <w:rsid w:val="00BE1112"/>
    <w:rsid w:val="00BE3369"/>
    <w:rsid w:val="00BE3665"/>
    <w:rsid w:val="00BE379C"/>
    <w:rsid w:val="00BE4168"/>
    <w:rsid w:val="00BE64C5"/>
    <w:rsid w:val="00BE6DBB"/>
    <w:rsid w:val="00BE796A"/>
    <w:rsid w:val="00BF044C"/>
    <w:rsid w:val="00BF11A4"/>
    <w:rsid w:val="00BF1245"/>
    <w:rsid w:val="00BF1326"/>
    <w:rsid w:val="00BF20C5"/>
    <w:rsid w:val="00BF2205"/>
    <w:rsid w:val="00BF22E8"/>
    <w:rsid w:val="00BF34B9"/>
    <w:rsid w:val="00BF37CC"/>
    <w:rsid w:val="00BF44D5"/>
    <w:rsid w:val="00BF488E"/>
    <w:rsid w:val="00BF51EA"/>
    <w:rsid w:val="00BF541D"/>
    <w:rsid w:val="00BF6C8C"/>
    <w:rsid w:val="00C0053E"/>
    <w:rsid w:val="00C005BB"/>
    <w:rsid w:val="00C0063B"/>
    <w:rsid w:val="00C0093E"/>
    <w:rsid w:val="00C00F15"/>
    <w:rsid w:val="00C0153B"/>
    <w:rsid w:val="00C02EBB"/>
    <w:rsid w:val="00C0379C"/>
    <w:rsid w:val="00C03D57"/>
    <w:rsid w:val="00C04768"/>
    <w:rsid w:val="00C04828"/>
    <w:rsid w:val="00C04D7F"/>
    <w:rsid w:val="00C05496"/>
    <w:rsid w:val="00C0612F"/>
    <w:rsid w:val="00C06777"/>
    <w:rsid w:val="00C06B09"/>
    <w:rsid w:val="00C07E4B"/>
    <w:rsid w:val="00C11957"/>
    <w:rsid w:val="00C1223E"/>
    <w:rsid w:val="00C12999"/>
    <w:rsid w:val="00C12E8E"/>
    <w:rsid w:val="00C12F34"/>
    <w:rsid w:val="00C130B7"/>
    <w:rsid w:val="00C139F9"/>
    <w:rsid w:val="00C147CF"/>
    <w:rsid w:val="00C15AD8"/>
    <w:rsid w:val="00C16903"/>
    <w:rsid w:val="00C17950"/>
    <w:rsid w:val="00C20F90"/>
    <w:rsid w:val="00C20FD4"/>
    <w:rsid w:val="00C213EB"/>
    <w:rsid w:val="00C23309"/>
    <w:rsid w:val="00C2341E"/>
    <w:rsid w:val="00C235DF"/>
    <w:rsid w:val="00C23784"/>
    <w:rsid w:val="00C25EBF"/>
    <w:rsid w:val="00C26384"/>
    <w:rsid w:val="00C3137C"/>
    <w:rsid w:val="00C323CE"/>
    <w:rsid w:val="00C32FDF"/>
    <w:rsid w:val="00C33D0A"/>
    <w:rsid w:val="00C3535D"/>
    <w:rsid w:val="00C35559"/>
    <w:rsid w:val="00C35D13"/>
    <w:rsid w:val="00C35FD4"/>
    <w:rsid w:val="00C36A06"/>
    <w:rsid w:val="00C36E49"/>
    <w:rsid w:val="00C37610"/>
    <w:rsid w:val="00C4108D"/>
    <w:rsid w:val="00C42BBB"/>
    <w:rsid w:val="00C433CE"/>
    <w:rsid w:val="00C438C8"/>
    <w:rsid w:val="00C43F7B"/>
    <w:rsid w:val="00C441BA"/>
    <w:rsid w:val="00C44230"/>
    <w:rsid w:val="00C442E3"/>
    <w:rsid w:val="00C45943"/>
    <w:rsid w:val="00C4681C"/>
    <w:rsid w:val="00C46858"/>
    <w:rsid w:val="00C46952"/>
    <w:rsid w:val="00C47C3E"/>
    <w:rsid w:val="00C47DC8"/>
    <w:rsid w:val="00C50700"/>
    <w:rsid w:val="00C51D18"/>
    <w:rsid w:val="00C51FC7"/>
    <w:rsid w:val="00C527E2"/>
    <w:rsid w:val="00C52D65"/>
    <w:rsid w:val="00C541EB"/>
    <w:rsid w:val="00C545F0"/>
    <w:rsid w:val="00C5534C"/>
    <w:rsid w:val="00C553BB"/>
    <w:rsid w:val="00C55C77"/>
    <w:rsid w:val="00C55D74"/>
    <w:rsid w:val="00C564E9"/>
    <w:rsid w:val="00C57BE3"/>
    <w:rsid w:val="00C57E50"/>
    <w:rsid w:val="00C605AB"/>
    <w:rsid w:val="00C60CE7"/>
    <w:rsid w:val="00C61315"/>
    <w:rsid w:val="00C61AA6"/>
    <w:rsid w:val="00C61B85"/>
    <w:rsid w:val="00C62F14"/>
    <w:rsid w:val="00C634EC"/>
    <w:rsid w:val="00C63670"/>
    <w:rsid w:val="00C6417E"/>
    <w:rsid w:val="00C64508"/>
    <w:rsid w:val="00C6468D"/>
    <w:rsid w:val="00C647A8"/>
    <w:rsid w:val="00C656FA"/>
    <w:rsid w:val="00C66F61"/>
    <w:rsid w:val="00C67E82"/>
    <w:rsid w:val="00C717E4"/>
    <w:rsid w:val="00C71D81"/>
    <w:rsid w:val="00C734BE"/>
    <w:rsid w:val="00C73BFC"/>
    <w:rsid w:val="00C756AC"/>
    <w:rsid w:val="00C75A75"/>
    <w:rsid w:val="00C76089"/>
    <w:rsid w:val="00C7646F"/>
    <w:rsid w:val="00C7664D"/>
    <w:rsid w:val="00C76AC5"/>
    <w:rsid w:val="00C76D4A"/>
    <w:rsid w:val="00C774DC"/>
    <w:rsid w:val="00C80331"/>
    <w:rsid w:val="00C81070"/>
    <w:rsid w:val="00C817D9"/>
    <w:rsid w:val="00C82660"/>
    <w:rsid w:val="00C827D3"/>
    <w:rsid w:val="00C83028"/>
    <w:rsid w:val="00C83084"/>
    <w:rsid w:val="00C831D9"/>
    <w:rsid w:val="00C83776"/>
    <w:rsid w:val="00C852EB"/>
    <w:rsid w:val="00C858D0"/>
    <w:rsid w:val="00C85C15"/>
    <w:rsid w:val="00C86D2D"/>
    <w:rsid w:val="00C87F2E"/>
    <w:rsid w:val="00C905D8"/>
    <w:rsid w:val="00C9097E"/>
    <w:rsid w:val="00C913A0"/>
    <w:rsid w:val="00C918BF"/>
    <w:rsid w:val="00C92E90"/>
    <w:rsid w:val="00C93833"/>
    <w:rsid w:val="00C93DB5"/>
    <w:rsid w:val="00C94CCC"/>
    <w:rsid w:val="00C94F60"/>
    <w:rsid w:val="00C9537D"/>
    <w:rsid w:val="00C9705C"/>
    <w:rsid w:val="00C970D1"/>
    <w:rsid w:val="00C977C9"/>
    <w:rsid w:val="00CA04F3"/>
    <w:rsid w:val="00CA15ED"/>
    <w:rsid w:val="00CA1ABF"/>
    <w:rsid w:val="00CA2AB6"/>
    <w:rsid w:val="00CA2D99"/>
    <w:rsid w:val="00CA3401"/>
    <w:rsid w:val="00CA3A90"/>
    <w:rsid w:val="00CA3C11"/>
    <w:rsid w:val="00CA40DA"/>
    <w:rsid w:val="00CA445B"/>
    <w:rsid w:val="00CA468B"/>
    <w:rsid w:val="00CA5429"/>
    <w:rsid w:val="00CA5CE8"/>
    <w:rsid w:val="00CA5F2D"/>
    <w:rsid w:val="00CA6027"/>
    <w:rsid w:val="00CA61B8"/>
    <w:rsid w:val="00CA62D9"/>
    <w:rsid w:val="00CA64C8"/>
    <w:rsid w:val="00CA64EC"/>
    <w:rsid w:val="00CA6C8D"/>
    <w:rsid w:val="00CA6E09"/>
    <w:rsid w:val="00CA71AC"/>
    <w:rsid w:val="00CA71D4"/>
    <w:rsid w:val="00CB0970"/>
    <w:rsid w:val="00CB27B6"/>
    <w:rsid w:val="00CB2D8A"/>
    <w:rsid w:val="00CB3309"/>
    <w:rsid w:val="00CB3326"/>
    <w:rsid w:val="00CB3E76"/>
    <w:rsid w:val="00CB43B7"/>
    <w:rsid w:val="00CB5553"/>
    <w:rsid w:val="00CB5C63"/>
    <w:rsid w:val="00CB6836"/>
    <w:rsid w:val="00CB6901"/>
    <w:rsid w:val="00CB693B"/>
    <w:rsid w:val="00CB6B18"/>
    <w:rsid w:val="00CB7109"/>
    <w:rsid w:val="00CB77AB"/>
    <w:rsid w:val="00CC0C2C"/>
    <w:rsid w:val="00CC1244"/>
    <w:rsid w:val="00CC1783"/>
    <w:rsid w:val="00CC247E"/>
    <w:rsid w:val="00CC2572"/>
    <w:rsid w:val="00CC3478"/>
    <w:rsid w:val="00CC39B2"/>
    <w:rsid w:val="00CC40B4"/>
    <w:rsid w:val="00CC40BE"/>
    <w:rsid w:val="00CC476C"/>
    <w:rsid w:val="00CC5A68"/>
    <w:rsid w:val="00CC608E"/>
    <w:rsid w:val="00CC6288"/>
    <w:rsid w:val="00CC6BE0"/>
    <w:rsid w:val="00CC7E89"/>
    <w:rsid w:val="00CD03A8"/>
    <w:rsid w:val="00CD07AF"/>
    <w:rsid w:val="00CD09CA"/>
    <w:rsid w:val="00CD0F53"/>
    <w:rsid w:val="00CD19B5"/>
    <w:rsid w:val="00CD3072"/>
    <w:rsid w:val="00CD3887"/>
    <w:rsid w:val="00CD3E60"/>
    <w:rsid w:val="00CD4FE8"/>
    <w:rsid w:val="00CD57E9"/>
    <w:rsid w:val="00CD58AA"/>
    <w:rsid w:val="00CD60D3"/>
    <w:rsid w:val="00CD67FA"/>
    <w:rsid w:val="00CD7713"/>
    <w:rsid w:val="00CE09A3"/>
    <w:rsid w:val="00CE0B3A"/>
    <w:rsid w:val="00CE0DA9"/>
    <w:rsid w:val="00CE1A10"/>
    <w:rsid w:val="00CE25F1"/>
    <w:rsid w:val="00CE2ECA"/>
    <w:rsid w:val="00CE3C0A"/>
    <w:rsid w:val="00CE4AA5"/>
    <w:rsid w:val="00CE57F6"/>
    <w:rsid w:val="00CE60F7"/>
    <w:rsid w:val="00CE6455"/>
    <w:rsid w:val="00CE6983"/>
    <w:rsid w:val="00CE6B8E"/>
    <w:rsid w:val="00CE6BC9"/>
    <w:rsid w:val="00CE6CF2"/>
    <w:rsid w:val="00CF0A45"/>
    <w:rsid w:val="00CF0A9D"/>
    <w:rsid w:val="00CF0CF7"/>
    <w:rsid w:val="00CF10C7"/>
    <w:rsid w:val="00CF1B47"/>
    <w:rsid w:val="00CF1D9C"/>
    <w:rsid w:val="00CF1E46"/>
    <w:rsid w:val="00CF2833"/>
    <w:rsid w:val="00CF5DFB"/>
    <w:rsid w:val="00CF6518"/>
    <w:rsid w:val="00CF681A"/>
    <w:rsid w:val="00CF6F1C"/>
    <w:rsid w:val="00CF7D15"/>
    <w:rsid w:val="00D00463"/>
    <w:rsid w:val="00D017CA"/>
    <w:rsid w:val="00D03D9A"/>
    <w:rsid w:val="00D0436A"/>
    <w:rsid w:val="00D04900"/>
    <w:rsid w:val="00D07988"/>
    <w:rsid w:val="00D079B6"/>
    <w:rsid w:val="00D07C51"/>
    <w:rsid w:val="00D102ED"/>
    <w:rsid w:val="00D10740"/>
    <w:rsid w:val="00D108EF"/>
    <w:rsid w:val="00D10E83"/>
    <w:rsid w:val="00D11ADF"/>
    <w:rsid w:val="00D11F6E"/>
    <w:rsid w:val="00D120A8"/>
    <w:rsid w:val="00D12303"/>
    <w:rsid w:val="00D1311F"/>
    <w:rsid w:val="00D13581"/>
    <w:rsid w:val="00D141BF"/>
    <w:rsid w:val="00D14280"/>
    <w:rsid w:val="00D142F3"/>
    <w:rsid w:val="00D1461E"/>
    <w:rsid w:val="00D14A33"/>
    <w:rsid w:val="00D14D28"/>
    <w:rsid w:val="00D15600"/>
    <w:rsid w:val="00D1627D"/>
    <w:rsid w:val="00D173EB"/>
    <w:rsid w:val="00D1789D"/>
    <w:rsid w:val="00D17D8E"/>
    <w:rsid w:val="00D21365"/>
    <w:rsid w:val="00D21934"/>
    <w:rsid w:val="00D22862"/>
    <w:rsid w:val="00D22FC7"/>
    <w:rsid w:val="00D233D0"/>
    <w:rsid w:val="00D23DDA"/>
    <w:rsid w:val="00D24A67"/>
    <w:rsid w:val="00D252E8"/>
    <w:rsid w:val="00D260DA"/>
    <w:rsid w:val="00D26434"/>
    <w:rsid w:val="00D3032A"/>
    <w:rsid w:val="00D30518"/>
    <w:rsid w:val="00D30A29"/>
    <w:rsid w:val="00D30DEA"/>
    <w:rsid w:val="00D3190F"/>
    <w:rsid w:val="00D31BD1"/>
    <w:rsid w:val="00D31CF5"/>
    <w:rsid w:val="00D31FB6"/>
    <w:rsid w:val="00D32A11"/>
    <w:rsid w:val="00D357B7"/>
    <w:rsid w:val="00D3585E"/>
    <w:rsid w:val="00D35D4F"/>
    <w:rsid w:val="00D37F39"/>
    <w:rsid w:val="00D40CA6"/>
    <w:rsid w:val="00D418E1"/>
    <w:rsid w:val="00D41BDF"/>
    <w:rsid w:val="00D42724"/>
    <w:rsid w:val="00D42BA6"/>
    <w:rsid w:val="00D444F3"/>
    <w:rsid w:val="00D44615"/>
    <w:rsid w:val="00D44A33"/>
    <w:rsid w:val="00D44E3E"/>
    <w:rsid w:val="00D4513D"/>
    <w:rsid w:val="00D45353"/>
    <w:rsid w:val="00D45564"/>
    <w:rsid w:val="00D45A32"/>
    <w:rsid w:val="00D502B2"/>
    <w:rsid w:val="00D50744"/>
    <w:rsid w:val="00D509CB"/>
    <w:rsid w:val="00D50A73"/>
    <w:rsid w:val="00D518CD"/>
    <w:rsid w:val="00D52819"/>
    <w:rsid w:val="00D54446"/>
    <w:rsid w:val="00D54535"/>
    <w:rsid w:val="00D54E88"/>
    <w:rsid w:val="00D54F4C"/>
    <w:rsid w:val="00D56B43"/>
    <w:rsid w:val="00D56FA1"/>
    <w:rsid w:val="00D603C2"/>
    <w:rsid w:val="00D60815"/>
    <w:rsid w:val="00D61224"/>
    <w:rsid w:val="00D616D8"/>
    <w:rsid w:val="00D623AC"/>
    <w:rsid w:val="00D63410"/>
    <w:rsid w:val="00D637FD"/>
    <w:rsid w:val="00D6397B"/>
    <w:rsid w:val="00D63F7B"/>
    <w:rsid w:val="00D6546E"/>
    <w:rsid w:val="00D664BC"/>
    <w:rsid w:val="00D66BB3"/>
    <w:rsid w:val="00D66EC5"/>
    <w:rsid w:val="00D67FDE"/>
    <w:rsid w:val="00D70626"/>
    <w:rsid w:val="00D714C5"/>
    <w:rsid w:val="00D72B32"/>
    <w:rsid w:val="00D72E46"/>
    <w:rsid w:val="00D73EC8"/>
    <w:rsid w:val="00D74070"/>
    <w:rsid w:val="00D74294"/>
    <w:rsid w:val="00D74AD5"/>
    <w:rsid w:val="00D74C15"/>
    <w:rsid w:val="00D74E07"/>
    <w:rsid w:val="00D753E3"/>
    <w:rsid w:val="00D77BB2"/>
    <w:rsid w:val="00D77BFE"/>
    <w:rsid w:val="00D77F87"/>
    <w:rsid w:val="00D81829"/>
    <w:rsid w:val="00D81846"/>
    <w:rsid w:val="00D82169"/>
    <w:rsid w:val="00D8329F"/>
    <w:rsid w:val="00D83C75"/>
    <w:rsid w:val="00D83F66"/>
    <w:rsid w:val="00D83F68"/>
    <w:rsid w:val="00D843A4"/>
    <w:rsid w:val="00D851D2"/>
    <w:rsid w:val="00D85E19"/>
    <w:rsid w:val="00D85E38"/>
    <w:rsid w:val="00D86335"/>
    <w:rsid w:val="00D87667"/>
    <w:rsid w:val="00D911A0"/>
    <w:rsid w:val="00D9122D"/>
    <w:rsid w:val="00D91D73"/>
    <w:rsid w:val="00D91D7B"/>
    <w:rsid w:val="00D9358A"/>
    <w:rsid w:val="00D948E2"/>
    <w:rsid w:val="00D94B78"/>
    <w:rsid w:val="00D953DC"/>
    <w:rsid w:val="00D95420"/>
    <w:rsid w:val="00D95A7A"/>
    <w:rsid w:val="00DA0417"/>
    <w:rsid w:val="00DA23C6"/>
    <w:rsid w:val="00DA27D9"/>
    <w:rsid w:val="00DA302F"/>
    <w:rsid w:val="00DA367B"/>
    <w:rsid w:val="00DA3682"/>
    <w:rsid w:val="00DA3E19"/>
    <w:rsid w:val="00DA3F35"/>
    <w:rsid w:val="00DA43A2"/>
    <w:rsid w:val="00DA4688"/>
    <w:rsid w:val="00DA4C45"/>
    <w:rsid w:val="00DA5866"/>
    <w:rsid w:val="00DA5A74"/>
    <w:rsid w:val="00DA667D"/>
    <w:rsid w:val="00DA6DE9"/>
    <w:rsid w:val="00DA7998"/>
    <w:rsid w:val="00DB138C"/>
    <w:rsid w:val="00DB199C"/>
    <w:rsid w:val="00DB374D"/>
    <w:rsid w:val="00DB6397"/>
    <w:rsid w:val="00DB6404"/>
    <w:rsid w:val="00DB6C7D"/>
    <w:rsid w:val="00DB746A"/>
    <w:rsid w:val="00DB761E"/>
    <w:rsid w:val="00DB78CB"/>
    <w:rsid w:val="00DB7D9D"/>
    <w:rsid w:val="00DC05DE"/>
    <w:rsid w:val="00DC0EF4"/>
    <w:rsid w:val="00DC1B7A"/>
    <w:rsid w:val="00DC2F5D"/>
    <w:rsid w:val="00DC3ECE"/>
    <w:rsid w:val="00DC429D"/>
    <w:rsid w:val="00DC4788"/>
    <w:rsid w:val="00DC4918"/>
    <w:rsid w:val="00DC5550"/>
    <w:rsid w:val="00DC5E6D"/>
    <w:rsid w:val="00DC6851"/>
    <w:rsid w:val="00DD06EA"/>
    <w:rsid w:val="00DD078C"/>
    <w:rsid w:val="00DD08E0"/>
    <w:rsid w:val="00DD0DB6"/>
    <w:rsid w:val="00DD111A"/>
    <w:rsid w:val="00DD2287"/>
    <w:rsid w:val="00DD2E72"/>
    <w:rsid w:val="00DD43E4"/>
    <w:rsid w:val="00DD510A"/>
    <w:rsid w:val="00DD51FD"/>
    <w:rsid w:val="00DD58E4"/>
    <w:rsid w:val="00DD5EE9"/>
    <w:rsid w:val="00DD6D26"/>
    <w:rsid w:val="00DD70A3"/>
    <w:rsid w:val="00DD7AD9"/>
    <w:rsid w:val="00DE0122"/>
    <w:rsid w:val="00DE0436"/>
    <w:rsid w:val="00DE117C"/>
    <w:rsid w:val="00DE1273"/>
    <w:rsid w:val="00DE1524"/>
    <w:rsid w:val="00DE180B"/>
    <w:rsid w:val="00DE1DBD"/>
    <w:rsid w:val="00DE203F"/>
    <w:rsid w:val="00DE38DD"/>
    <w:rsid w:val="00DE431E"/>
    <w:rsid w:val="00DE49BB"/>
    <w:rsid w:val="00DE4EA9"/>
    <w:rsid w:val="00DE571E"/>
    <w:rsid w:val="00DE5FA6"/>
    <w:rsid w:val="00DE6E20"/>
    <w:rsid w:val="00DE747F"/>
    <w:rsid w:val="00DE7D08"/>
    <w:rsid w:val="00DE7FDC"/>
    <w:rsid w:val="00DF0460"/>
    <w:rsid w:val="00DF1908"/>
    <w:rsid w:val="00DF200C"/>
    <w:rsid w:val="00DF284A"/>
    <w:rsid w:val="00DF2EF7"/>
    <w:rsid w:val="00DF2FF7"/>
    <w:rsid w:val="00DF33AC"/>
    <w:rsid w:val="00DF3479"/>
    <w:rsid w:val="00DF41AE"/>
    <w:rsid w:val="00DF465B"/>
    <w:rsid w:val="00DF4843"/>
    <w:rsid w:val="00DF6F3F"/>
    <w:rsid w:val="00E00766"/>
    <w:rsid w:val="00E00908"/>
    <w:rsid w:val="00E03558"/>
    <w:rsid w:val="00E0384A"/>
    <w:rsid w:val="00E053C9"/>
    <w:rsid w:val="00E05F7F"/>
    <w:rsid w:val="00E07224"/>
    <w:rsid w:val="00E10E22"/>
    <w:rsid w:val="00E11564"/>
    <w:rsid w:val="00E1291D"/>
    <w:rsid w:val="00E12F19"/>
    <w:rsid w:val="00E1320F"/>
    <w:rsid w:val="00E13A61"/>
    <w:rsid w:val="00E14CD6"/>
    <w:rsid w:val="00E1553D"/>
    <w:rsid w:val="00E15A27"/>
    <w:rsid w:val="00E16ECA"/>
    <w:rsid w:val="00E20380"/>
    <w:rsid w:val="00E21A6D"/>
    <w:rsid w:val="00E23AC0"/>
    <w:rsid w:val="00E2416A"/>
    <w:rsid w:val="00E24609"/>
    <w:rsid w:val="00E24D3E"/>
    <w:rsid w:val="00E24EBA"/>
    <w:rsid w:val="00E257A4"/>
    <w:rsid w:val="00E259CA"/>
    <w:rsid w:val="00E25C19"/>
    <w:rsid w:val="00E25C79"/>
    <w:rsid w:val="00E26769"/>
    <w:rsid w:val="00E26B2E"/>
    <w:rsid w:val="00E31757"/>
    <w:rsid w:val="00E31CB2"/>
    <w:rsid w:val="00E326D5"/>
    <w:rsid w:val="00E32E58"/>
    <w:rsid w:val="00E3387F"/>
    <w:rsid w:val="00E33BF1"/>
    <w:rsid w:val="00E341A7"/>
    <w:rsid w:val="00E35486"/>
    <w:rsid w:val="00E3579C"/>
    <w:rsid w:val="00E36B84"/>
    <w:rsid w:val="00E36D3E"/>
    <w:rsid w:val="00E36F5B"/>
    <w:rsid w:val="00E3743E"/>
    <w:rsid w:val="00E37479"/>
    <w:rsid w:val="00E37AEB"/>
    <w:rsid w:val="00E37D06"/>
    <w:rsid w:val="00E40CBE"/>
    <w:rsid w:val="00E42008"/>
    <w:rsid w:val="00E4225F"/>
    <w:rsid w:val="00E42B44"/>
    <w:rsid w:val="00E43AB3"/>
    <w:rsid w:val="00E44852"/>
    <w:rsid w:val="00E4662A"/>
    <w:rsid w:val="00E47CE9"/>
    <w:rsid w:val="00E50290"/>
    <w:rsid w:val="00E512AF"/>
    <w:rsid w:val="00E51C1B"/>
    <w:rsid w:val="00E52E76"/>
    <w:rsid w:val="00E52F7F"/>
    <w:rsid w:val="00E53A7B"/>
    <w:rsid w:val="00E53DA0"/>
    <w:rsid w:val="00E53F4F"/>
    <w:rsid w:val="00E54A87"/>
    <w:rsid w:val="00E55A84"/>
    <w:rsid w:val="00E563A0"/>
    <w:rsid w:val="00E56CAC"/>
    <w:rsid w:val="00E57065"/>
    <w:rsid w:val="00E57DCC"/>
    <w:rsid w:val="00E60022"/>
    <w:rsid w:val="00E601D7"/>
    <w:rsid w:val="00E60DD8"/>
    <w:rsid w:val="00E60E36"/>
    <w:rsid w:val="00E61071"/>
    <w:rsid w:val="00E62011"/>
    <w:rsid w:val="00E62F65"/>
    <w:rsid w:val="00E63A42"/>
    <w:rsid w:val="00E64935"/>
    <w:rsid w:val="00E649D9"/>
    <w:rsid w:val="00E64CEA"/>
    <w:rsid w:val="00E671BE"/>
    <w:rsid w:val="00E6759F"/>
    <w:rsid w:val="00E67E4E"/>
    <w:rsid w:val="00E67F0B"/>
    <w:rsid w:val="00E70A74"/>
    <w:rsid w:val="00E71B92"/>
    <w:rsid w:val="00E71D17"/>
    <w:rsid w:val="00E71FEA"/>
    <w:rsid w:val="00E720E9"/>
    <w:rsid w:val="00E7233D"/>
    <w:rsid w:val="00E72347"/>
    <w:rsid w:val="00E7266A"/>
    <w:rsid w:val="00E72C04"/>
    <w:rsid w:val="00E73314"/>
    <w:rsid w:val="00E73624"/>
    <w:rsid w:val="00E73A28"/>
    <w:rsid w:val="00E73E53"/>
    <w:rsid w:val="00E74127"/>
    <w:rsid w:val="00E741C1"/>
    <w:rsid w:val="00E74212"/>
    <w:rsid w:val="00E744FF"/>
    <w:rsid w:val="00E74C71"/>
    <w:rsid w:val="00E74E3D"/>
    <w:rsid w:val="00E75816"/>
    <w:rsid w:val="00E75879"/>
    <w:rsid w:val="00E758B6"/>
    <w:rsid w:val="00E758F7"/>
    <w:rsid w:val="00E77C0A"/>
    <w:rsid w:val="00E80071"/>
    <w:rsid w:val="00E80C37"/>
    <w:rsid w:val="00E81536"/>
    <w:rsid w:val="00E8166A"/>
    <w:rsid w:val="00E82713"/>
    <w:rsid w:val="00E83943"/>
    <w:rsid w:val="00E8415C"/>
    <w:rsid w:val="00E841FF"/>
    <w:rsid w:val="00E8438F"/>
    <w:rsid w:val="00E845AD"/>
    <w:rsid w:val="00E84FFA"/>
    <w:rsid w:val="00E859FA"/>
    <w:rsid w:val="00E86363"/>
    <w:rsid w:val="00E87CE2"/>
    <w:rsid w:val="00E901C5"/>
    <w:rsid w:val="00E905F0"/>
    <w:rsid w:val="00E9105B"/>
    <w:rsid w:val="00E91775"/>
    <w:rsid w:val="00E91CD0"/>
    <w:rsid w:val="00E92975"/>
    <w:rsid w:val="00E9336E"/>
    <w:rsid w:val="00E93680"/>
    <w:rsid w:val="00E93AF8"/>
    <w:rsid w:val="00E95154"/>
    <w:rsid w:val="00E955A3"/>
    <w:rsid w:val="00E95ADD"/>
    <w:rsid w:val="00E95B1C"/>
    <w:rsid w:val="00E97F56"/>
    <w:rsid w:val="00EA0069"/>
    <w:rsid w:val="00EA1B52"/>
    <w:rsid w:val="00EA2369"/>
    <w:rsid w:val="00EA261B"/>
    <w:rsid w:val="00EA3A5F"/>
    <w:rsid w:val="00EA594B"/>
    <w:rsid w:val="00EA5DB3"/>
    <w:rsid w:val="00EA603A"/>
    <w:rsid w:val="00EA6061"/>
    <w:rsid w:val="00EA6ED1"/>
    <w:rsid w:val="00EA7711"/>
    <w:rsid w:val="00EA7CA4"/>
    <w:rsid w:val="00EB0297"/>
    <w:rsid w:val="00EB036A"/>
    <w:rsid w:val="00EB0750"/>
    <w:rsid w:val="00EB0969"/>
    <w:rsid w:val="00EB0CBE"/>
    <w:rsid w:val="00EB0D13"/>
    <w:rsid w:val="00EB1190"/>
    <w:rsid w:val="00EB18F9"/>
    <w:rsid w:val="00EB19F0"/>
    <w:rsid w:val="00EB5359"/>
    <w:rsid w:val="00EB5B30"/>
    <w:rsid w:val="00EB614F"/>
    <w:rsid w:val="00EB712D"/>
    <w:rsid w:val="00EB7D28"/>
    <w:rsid w:val="00EC0BC9"/>
    <w:rsid w:val="00EC134B"/>
    <w:rsid w:val="00EC19AB"/>
    <w:rsid w:val="00EC22FF"/>
    <w:rsid w:val="00EC232D"/>
    <w:rsid w:val="00EC2928"/>
    <w:rsid w:val="00EC313D"/>
    <w:rsid w:val="00EC320F"/>
    <w:rsid w:val="00EC376A"/>
    <w:rsid w:val="00EC4658"/>
    <w:rsid w:val="00EC58F7"/>
    <w:rsid w:val="00EC601F"/>
    <w:rsid w:val="00EC65BE"/>
    <w:rsid w:val="00EC6DF7"/>
    <w:rsid w:val="00EC72A4"/>
    <w:rsid w:val="00EC7B4C"/>
    <w:rsid w:val="00ED00B1"/>
    <w:rsid w:val="00ED0405"/>
    <w:rsid w:val="00ED0ACA"/>
    <w:rsid w:val="00ED3460"/>
    <w:rsid w:val="00ED47B4"/>
    <w:rsid w:val="00ED4E42"/>
    <w:rsid w:val="00ED5661"/>
    <w:rsid w:val="00ED59D8"/>
    <w:rsid w:val="00ED7005"/>
    <w:rsid w:val="00ED75E0"/>
    <w:rsid w:val="00ED7D39"/>
    <w:rsid w:val="00ED7F75"/>
    <w:rsid w:val="00EE0433"/>
    <w:rsid w:val="00EE05CE"/>
    <w:rsid w:val="00EE08C5"/>
    <w:rsid w:val="00EE0A1A"/>
    <w:rsid w:val="00EE0D7C"/>
    <w:rsid w:val="00EE16E4"/>
    <w:rsid w:val="00EE1F12"/>
    <w:rsid w:val="00EE2BD0"/>
    <w:rsid w:val="00EE2D7B"/>
    <w:rsid w:val="00EE3443"/>
    <w:rsid w:val="00EE3E17"/>
    <w:rsid w:val="00EE5761"/>
    <w:rsid w:val="00EE57D5"/>
    <w:rsid w:val="00EE5889"/>
    <w:rsid w:val="00EE6A1D"/>
    <w:rsid w:val="00EE6B87"/>
    <w:rsid w:val="00EE77CE"/>
    <w:rsid w:val="00EF106F"/>
    <w:rsid w:val="00EF131C"/>
    <w:rsid w:val="00EF1705"/>
    <w:rsid w:val="00EF1AD5"/>
    <w:rsid w:val="00EF258B"/>
    <w:rsid w:val="00EF25C9"/>
    <w:rsid w:val="00EF2E16"/>
    <w:rsid w:val="00EF41B1"/>
    <w:rsid w:val="00EF5B9D"/>
    <w:rsid w:val="00EF5EFA"/>
    <w:rsid w:val="00EF65CC"/>
    <w:rsid w:val="00F006A1"/>
    <w:rsid w:val="00F00A00"/>
    <w:rsid w:val="00F00C43"/>
    <w:rsid w:val="00F02614"/>
    <w:rsid w:val="00F0292C"/>
    <w:rsid w:val="00F02DC6"/>
    <w:rsid w:val="00F03BE1"/>
    <w:rsid w:val="00F04C60"/>
    <w:rsid w:val="00F04C77"/>
    <w:rsid w:val="00F055A0"/>
    <w:rsid w:val="00F06343"/>
    <w:rsid w:val="00F06F8F"/>
    <w:rsid w:val="00F079A7"/>
    <w:rsid w:val="00F07C5B"/>
    <w:rsid w:val="00F101BA"/>
    <w:rsid w:val="00F10D4C"/>
    <w:rsid w:val="00F118FE"/>
    <w:rsid w:val="00F122AA"/>
    <w:rsid w:val="00F127B0"/>
    <w:rsid w:val="00F1293B"/>
    <w:rsid w:val="00F12E65"/>
    <w:rsid w:val="00F149FB"/>
    <w:rsid w:val="00F14AAA"/>
    <w:rsid w:val="00F154EA"/>
    <w:rsid w:val="00F15774"/>
    <w:rsid w:val="00F157AB"/>
    <w:rsid w:val="00F15838"/>
    <w:rsid w:val="00F15879"/>
    <w:rsid w:val="00F1590A"/>
    <w:rsid w:val="00F16FFC"/>
    <w:rsid w:val="00F1788A"/>
    <w:rsid w:val="00F20022"/>
    <w:rsid w:val="00F205CB"/>
    <w:rsid w:val="00F206F6"/>
    <w:rsid w:val="00F21C4A"/>
    <w:rsid w:val="00F21EE4"/>
    <w:rsid w:val="00F22273"/>
    <w:rsid w:val="00F2266C"/>
    <w:rsid w:val="00F229D9"/>
    <w:rsid w:val="00F22C6F"/>
    <w:rsid w:val="00F233D1"/>
    <w:rsid w:val="00F24516"/>
    <w:rsid w:val="00F24BBE"/>
    <w:rsid w:val="00F24D33"/>
    <w:rsid w:val="00F25153"/>
    <w:rsid w:val="00F25646"/>
    <w:rsid w:val="00F25983"/>
    <w:rsid w:val="00F25A60"/>
    <w:rsid w:val="00F264A6"/>
    <w:rsid w:val="00F2653B"/>
    <w:rsid w:val="00F26B7D"/>
    <w:rsid w:val="00F26B81"/>
    <w:rsid w:val="00F26FF2"/>
    <w:rsid w:val="00F27870"/>
    <w:rsid w:val="00F2798F"/>
    <w:rsid w:val="00F30CAF"/>
    <w:rsid w:val="00F31268"/>
    <w:rsid w:val="00F31287"/>
    <w:rsid w:val="00F3128C"/>
    <w:rsid w:val="00F31814"/>
    <w:rsid w:val="00F31C7D"/>
    <w:rsid w:val="00F31CBB"/>
    <w:rsid w:val="00F31D75"/>
    <w:rsid w:val="00F3216D"/>
    <w:rsid w:val="00F329F4"/>
    <w:rsid w:val="00F3303E"/>
    <w:rsid w:val="00F330D9"/>
    <w:rsid w:val="00F33573"/>
    <w:rsid w:val="00F348D0"/>
    <w:rsid w:val="00F35C42"/>
    <w:rsid w:val="00F36256"/>
    <w:rsid w:val="00F36AE4"/>
    <w:rsid w:val="00F36B11"/>
    <w:rsid w:val="00F4038C"/>
    <w:rsid w:val="00F4078D"/>
    <w:rsid w:val="00F40C0E"/>
    <w:rsid w:val="00F4158C"/>
    <w:rsid w:val="00F422A1"/>
    <w:rsid w:val="00F42301"/>
    <w:rsid w:val="00F4462A"/>
    <w:rsid w:val="00F44B9E"/>
    <w:rsid w:val="00F44C09"/>
    <w:rsid w:val="00F44F8C"/>
    <w:rsid w:val="00F4518E"/>
    <w:rsid w:val="00F45748"/>
    <w:rsid w:val="00F4618D"/>
    <w:rsid w:val="00F463AC"/>
    <w:rsid w:val="00F466C5"/>
    <w:rsid w:val="00F467B7"/>
    <w:rsid w:val="00F47795"/>
    <w:rsid w:val="00F479BE"/>
    <w:rsid w:val="00F47F42"/>
    <w:rsid w:val="00F5006D"/>
    <w:rsid w:val="00F50CA9"/>
    <w:rsid w:val="00F5320C"/>
    <w:rsid w:val="00F54761"/>
    <w:rsid w:val="00F56766"/>
    <w:rsid w:val="00F56F5E"/>
    <w:rsid w:val="00F5702D"/>
    <w:rsid w:val="00F57AF7"/>
    <w:rsid w:val="00F60877"/>
    <w:rsid w:val="00F60AFE"/>
    <w:rsid w:val="00F62B0A"/>
    <w:rsid w:val="00F63894"/>
    <w:rsid w:val="00F63AB5"/>
    <w:rsid w:val="00F63EDB"/>
    <w:rsid w:val="00F649A5"/>
    <w:rsid w:val="00F6541B"/>
    <w:rsid w:val="00F660A4"/>
    <w:rsid w:val="00F669AF"/>
    <w:rsid w:val="00F66B7D"/>
    <w:rsid w:val="00F66C10"/>
    <w:rsid w:val="00F708A1"/>
    <w:rsid w:val="00F70A42"/>
    <w:rsid w:val="00F70BF2"/>
    <w:rsid w:val="00F70E53"/>
    <w:rsid w:val="00F723E8"/>
    <w:rsid w:val="00F72978"/>
    <w:rsid w:val="00F7494F"/>
    <w:rsid w:val="00F74FFC"/>
    <w:rsid w:val="00F75ECC"/>
    <w:rsid w:val="00F76603"/>
    <w:rsid w:val="00F7758A"/>
    <w:rsid w:val="00F77C3B"/>
    <w:rsid w:val="00F77D21"/>
    <w:rsid w:val="00F77FB0"/>
    <w:rsid w:val="00F8016F"/>
    <w:rsid w:val="00F80F0F"/>
    <w:rsid w:val="00F810F6"/>
    <w:rsid w:val="00F81B0C"/>
    <w:rsid w:val="00F82684"/>
    <w:rsid w:val="00F82697"/>
    <w:rsid w:val="00F82FF4"/>
    <w:rsid w:val="00F847A2"/>
    <w:rsid w:val="00F859C3"/>
    <w:rsid w:val="00F85E14"/>
    <w:rsid w:val="00F8600D"/>
    <w:rsid w:val="00F860FA"/>
    <w:rsid w:val="00F86CA2"/>
    <w:rsid w:val="00F8709C"/>
    <w:rsid w:val="00F90189"/>
    <w:rsid w:val="00F906B9"/>
    <w:rsid w:val="00F9099A"/>
    <w:rsid w:val="00F90F1A"/>
    <w:rsid w:val="00F91F92"/>
    <w:rsid w:val="00F922ED"/>
    <w:rsid w:val="00F938E6"/>
    <w:rsid w:val="00F93F56"/>
    <w:rsid w:val="00F9551E"/>
    <w:rsid w:val="00F95F67"/>
    <w:rsid w:val="00F963A3"/>
    <w:rsid w:val="00F96420"/>
    <w:rsid w:val="00F9678A"/>
    <w:rsid w:val="00F96C37"/>
    <w:rsid w:val="00F96E1E"/>
    <w:rsid w:val="00F9715F"/>
    <w:rsid w:val="00F97922"/>
    <w:rsid w:val="00F97D16"/>
    <w:rsid w:val="00FA101A"/>
    <w:rsid w:val="00FA28A3"/>
    <w:rsid w:val="00FA2BC1"/>
    <w:rsid w:val="00FA35E5"/>
    <w:rsid w:val="00FA375C"/>
    <w:rsid w:val="00FA6C47"/>
    <w:rsid w:val="00FA6DF6"/>
    <w:rsid w:val="00FA6EBA"/>
    <w:rsid w:val="00FA6FEE"/>
    <w:rsid w:val="00FA71EA"/>
    <w:rsid w:val="00FA79EA"/>
    <w:rsid w:val="00FA7A30"/>
    <w:rsid w:val="00FB15E5"/>
    <w:rsid w:val="00FB18B7"/>
    <w:rsid w:val="00FB1C3E"/>
    <w:rsid w:val="00FB32BD"/>
    <w:rsid w:val="00FB4223"/>
    <w:rsid w:val="00FB447B"/>
    <w:rsid w:val="00FB4B05"/>
    <w:rsid w:val="00FB50AA"/>
    <w:rsid w:val="00FB63D3"/>
    <w:rsid w:val="00FB6989"/>
    <w:rsid w:val="00FB6CF3"/>
    <w:rsid w:val="00FB6D19"/>
    <w:rsid w:val="00FB6F71"/>
    <w:rsid w:val="00FB7B05"/>
    <w:rsid w:val="00FC0552"/>
    <w:rsid w:val="00FC07C7"/>
    <w:rsid w:val="00FC0FFE"/>
    <w:rsid w:val="00FC1B13"/>
    <w:rsid w:val="00FC56E5"/>
    <w:rsid w:val="00FC69DB"/>
    <w:rsid w:val="00FC6AE5"/>
    <w:rsid w:val="00FC6E2C"/>
    <w:rsid w:val="00FC73D2"/>
    <w:rsid w:val="00FC767F"/>
    <w:rsid w:val="00FC7C1C"/>
    <w:rsid w:val="00FD08A3"/>
    <w:rsid w:val="00FD0FF1"/>
    <w:rsid w:val="00FD0FFD"/>
    <w:rsid w:val="00FD18F2"/>
    <w:rsid w:val="00FD32A8"/>
    <w:rsid w:val="00FD4F00"/>
    <w:rsid w:val="00FD56C4"/>
    <w:rsid w:val="00FD5BCD"/>
    <w:rsid w:val="00FD5DC4"/>
    <w:rsid w:val="00FD63BF"/>
    <w:rsid w:val="00FD6B74"/>
    <w:rsid w:val="00FE0760"/>
    <w:rsid w:val="00FE0AAF"/>
    <w:rsid w:val="00FE1496"/>
    <w:rsid w:val="00FE319A"/>
    <w:rsid w:val="00FE3BDC"/>
    <w:rsid w:val="00FE49CC"/>
    <w:rsid w:val="00FE53F3"/>
    <w:rsid w:val="00FE5575"/>
    <w:rsid w:val="00FE5BA4"/>
    <w:rsid w:val="00FF07C7"/>
    <w:rsid w:val="00FF0948"/>
    <w:rsid w:val="00FF0B4F"/>
    <w:rsid w:val="00FF0CAF"/>
    <w:rsid w:val="00FF1093"/>
    <w:rsid w:val="00FF1883"/>
    <w:rsid w:val="00FF1904"/>
    <w:rsid w:val="00FF2A1A"/>
    <w:rsid w:val="00FF34BC"/>
    <w:rsid w:val="00FF3840"/>
    <w:rsid w:val="00FF5E28"/>
    <w:rsid w:val="00FF6271"/>
    <w:rsid w:val="00FF6EC5"/>
    <w:rsid w:val="00FF7017"/>
    <w:rsid w:val="00FF7288"/>
    <w:rsid w:val="00FF72FC"/>
    <w:rsid w:val="00FF7DBD"/>
    <w:rsid w:val="015AD67D"/>
    <w:rsid w:val="046092B0"/>
    <w:rsid w:val="07983372"/>
    <w:rsid w:val="080768AF"/>
    <w:rsid w:val="08FB2085"/>
    <w:rsid w:val="09ABE382"/>
    <w:rsid w:val="09AF631D"/>
    <w:rsid w:val="0AFA6657"/>
    <w:rsid w:val="0B844D7A"/>
    <w:rsid w:val="0BB21C00"/>
    <w:rsid w:val="12215D84"/>
    <w:rsid w:val="143B51BB"/>
    <w:rsid w:val="15606567"/>
    <w:rsid w:val="16A15D32"/>
    <w:rsid w:val="18DC7AC2"/>
    <w:rsid w:val="1B23D02A"/>
    <w:rsid w:val="1BAF176D"/>
    <w:rsid w:val="1EA1DA54"/>
    <w:rsid w:val="24D6C961"/>
    <w:rsid w:val="2696B22E"/>
    <w:rsid w:val="282FCF41"/>
    <w:rsid w:val="29C98B18"/>
    <w:rsid w:val="2A759190"/>
    <w:rsid w:val="2B3F8FF5"/>
    <w:rsid w:val="2CE680A5"/>
    <w:rsid w:val="2DA18500"/>
    <w:rsid w:val="2EE20C46"/>
    <w:rsid w:val="33CA5B5A"/>
    <w:rsid w:val="348FA887"/>
    <w:rsid w:val="34DFAAF9"/>
    <w:rsid w:val="36D2127D"/>
    <w:rsid w:val="377C56AD"/>
    <w:rsid w:val="3B73AD31"/>
    <w:rsid w:val="3CA940F4"/>
    <w:rsid w:val="3D3744CF"/>
    <w:rsid w:val="3E9E415A"/>
    <w:rsid w:val="3F66917A"/>
    <w:rsid w:val="40E13C89"/>
    <w:rsid w:val="424AE0D5"/>
    <w:rsid w:val="425DDFC5"/>
    <w:rsid w:val="42A039DD"/>
    <w:rsid w:val="43D2994A"/>
    <w:rsid w:val="43D7BB1F"/>
    <w:rsid w:val="4427C14E"/>
    <w:rsid w:val="443E416C"/>
    <w:rsid w:val="45A40EF3"/>
    <w:rsid w:val="481B3132"/>
    <w:rsid w:val="48252C26"/>
    <w:rsid w:val="49C6DAA2"/>
    <w:rsid w:val="4CFDD2AA"/>
    <w:rsid w:val="4D2BE8BE"/>
    <w:rsid w:val="4DCEF2BA"/>
    <w:rsid w:val="4E0F3E54"/>
    <w:rsid w:val="4E6AAF2F"/>
    <w:rsid w:val="4F3A7997"/>
    <w:rsid w:val="4FEE5FE4"/>
    <w:rsid w:val="50E0DDDE"/>
    <w:rsid w:val="51631C93"/>
    <w:rsid w:val="518E53AD"/>
    <w:rsid w:val="51C94067"/>
    <w:rsid w:val="520E5039"/>
    <w:rsid w:val="52384EB3"/>
    <w:rsid w:val="52E036EC"/>
    <w:rsid w:val="52E416B1"/>
    <w:rsid w:val="532204B2"/>
    <w:rsid w:val="5387146A"/>
    <w:rsid w:val="556C1C2C"/>
    <w:rsid w:val="55A99E6C"/>
    <w:rsid w:val="58565862"/>
    <w:rsid w:val="58630A98"/>
    <w:rsid w:val="5A08593E"/>
    <w:rsid w:val="5B5612B9"/>
    <w:rsid w:val="5B685527"/>
    <w:rsid w:val="5D317BAC"/>
    <w:rsid w:val="5DA85129"/>
    <w:rsid w:val="5ECA8E4A"/>
    <w:rsid w:val="5F013FDD"/>
    <w:rsid w:val="5F32CB22"/>
    <w:rsid w:val="61B1466D"/>
    <w:rsid w:val="61D24D60"/>
    <w:rsid w:val="6374FFE5"/>
    <w:rsid w:val="63CE8670"/>
    <w:rsid w:val="648032CA"/>
    <w:rsid w:val="64EC5D06"/>
    <w:rsid w:val="653124AE"/>
    <w:rsid w:val="66DB60E1"/>
    <w:rsid w:val="6744C9AD"/>
    <w:rsid w:val="67C52F88"/>
    <w:rsid w:val="67DDE781"/>
    <w:rsid w:val="6844F731"/>
    <w:rsid w:val="69DB9649"/>
    <w:rsid w:val="6A650729"/>
    <w:rsid w:val="6B3F501D"/>
    <w:rsid w:val="6BDF1A45"/>
    <w:rsid w:val="6D0092CB"/>
    <w:rsid w:val="6D8171A1"/>
    <w:rsid w:val="6E29BB34"/>
    <w:rsid w:val="721B221B"/>
    <w:rsid w:val="72D442D7"/>
    <w:rsid w:val="74E29CBF"/>
    <w:rsid w:val="75476B84"/>
    <w:rsid w:val="7549F454"/>
    <w:rsid w:val="758A64BA"/>
    <w:rsid w:val="7638A94F"/>
    <w:rsid w:val="7649773D"/>
    <w:rsid w:val="7858E6F4"/>
    <w:rsid w:val="78C93861"/>
    <w:rsid w:val="79F83A4E"/>
    <w:rsid w:val="7A252310"/>
    <w:rsid w:val="7A452FD6"/>
    <w:rsid w:val="7B7F6DFE"/>
    <w:rsid w:val="7C16371D"/>
    <w:rsid w:val="7C3A6B93"/>
    <w:rsid w:val="7D93184C"/>
    <w:rsid w:val="7F1B38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A747"/>
  <w15:docId w15:val="{F901C36A-C4B9-4375-94ED-7AB1AE9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IC" w:hAnsi="VIC" w:eastAsia="VIC" w:cs="VIC"/>
    </w:rPr>
  </w:style>
  <w:style w:type="paragraph" w:styleId="Heading1">
    <w:name w:val="heading 1"/>
    <w:basedOn w:val="Normal"/>
    <w:uiPriority w:val="9"/>
    <w:qFormat/>
    <w:pPr>
      <w:ind w:left="1144"/>
      <w:outlineLvl w:val="0"/>
    </w:pPr>
    <w:rPr>
      <w:rFonts w:ascii="VIC SemiBold" w:hAnsi="VIC SemiBold" w:eastAsia="VIC SemiBold" w:cs="VIC SemiBold"/>
      <w:sz w:val="44"/>
      <w:szCs w:val="44"/>
    </w:rPr>
  </w:style>
  <w:style w:type="paragraph" w:styleId="Heading2">
    <w:name w:val="heading 2"/>
    <w:basedOn w:val="Normal"/>
    <w:uiPriority w:val="9"/>
    <w:unhideWhenUsed/>
    <w:qFormat/>
    <w:pPr>
      <w:ind w:left="1144"/>
      <w:outlineLvl w:val="1"/>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1"/>
    <w:qFormat/>
    <w:pPr>
      <w:spacing w:before="163"/>
      <w:ind w:left="1864" w:hanging="360"/>
    </w:pPr>
  </w:style>
  <w:style w:type="paragraph" w:styleId="TableParagraph" w:customStyle="1">
    <w:name w:val="Table Paragraph"/>
    <w:basedOn w:val="Normal"/>
    <w:uiPriority w:val="1"/>
    <w:qFormat/>
    <w:pPr>
      <w:spacing w:before="5"/>
      <w:ind w:left="110"/>
    </w:pPr>
  </w:style>
  <w:style w:type="paragraph" w:styleId="BalloonText">
    <w:name w:val="Balloon Text"/>
    <w:basedOn w:val="Normal"/>
    <w:link w:val="BalloonTextChar"/>
    <w:uiPriority w:val="99"/>
    <w:semiHidden/>
    <w:unhideWhenUsed/>
    <w:rsid w:val="007D6BE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6BE2"/>
    <w:rPr>
      <w:rFonts w:ascii="Segoe UI" w:hAnsi="Segoe UI" w:eastAsia="VIC" w:cs="Segoe UI"/>
      <w:sz w:val="18"/>
      <w:szCs w:val="18"/>
    </w:rPr>
  </w:style>
  <w:style w:type="paragraph" w:styleId="Header">
    <w:name w:val="header"/>
    <w:basedOn w:val="Normal"/>
    <w:link w:val="HeaderChar"/>
    <w:uiPriority w:val="99"/>
    <w:unhideWhenUsed/>
    <w:rsid w:val="00CB2D8A"/>
    <w:pPr>
      <w:tabs>
        <w:tab w:val="center" w:pos="4513"/>
        <w:tab w:val="right" w:pos="9026"/>
      </w:tabs>
    </w:pPr>
  </w:style>
  <w:style w:type="character" w:styleId="HeaderChar" w:customStyle="1">
    <w:name w:val="Header Char"/>
    <w:basedOn w:val="DefaultParagraphFont"/>
    <w:link w:val="Header"/>
    <w:uiPriority w:val="99"/>
    <w:rsid w:val="00CB2D8A"/>
    <w:rPr>
      <w:rFonts w:ascii="VIC" w:hAnsi="VIC" w:eastAsia="VIC" w:cs="VIC"/>
    </w:rPr>
  </w:style>
  <w:style w:type="paragraph" w:styleId="Footer">
    <w:name w:val="footer"/>
    <w:basedOn w:val="Normal"/>
    <w:link w:val="FooterChar"/>
    <w:uiPriority w:val="99"/>
    <w:unhideWhenUsed/>
    <w:rsid w:val="00CB2D8A"/>
    <w:pPr>
      <w:tabs>
        <w:tab w:val="center" w:pos="4513"/>
        <w:tab w:val="right" w:pos="9026"/>
      </w:tabs>
    </w:pPr>
  </w:style>
  <w:style w:type="character" w:styleId="FooterChar" w:customStyle="1">
    <w:name w:val="Footer Char"/>
    <w:basedOn w:val="DefaultParagraphFont"/>
    <w:link w:val="Footer"/>
    <w:uiPriority w:val="99"/>
    <w:rsid w:val="00CB2D8A"/>
    <w:rPr>
      <w:rFonts w:ascii="VIC" w:hAnsi="VIC" w:eastAsia="VIC" w:cs="VIC"/>
    </w:rPr>
  </w:style>
  <w:style w:type="character" w:styleId="CommentReference">
    <w:name w:val="annotation reference"/>
    <w:basedOn w:val="DefaultParagraphFont"/>
    <w:uiPriority w:val="99"/>
    <w:semiHidden/>
    <w:unhideWhenUsed/>
    <w:rsid w:val="005374C8"/>
    <w:rPr>
      <w:sz w:val="16"/>
      <w:szCs w:val="16"/>
    </w:rPr>
  </w:style>
  <w:style w:type="paragraph" w:styleId="CommentText">
    <w:name w:val="annotation text"/>
    <w:basedOn w:val="Normal"/>
    <w:link w:val="CommentTextChar"/>
    <w:uiPriority w:val="99"/>
    <w:semiHidden/>
    <w:unhideWhenUsed/>
    <w:rsid w:val="005374C8"/>
    <w:rPr>
      <w:sz w:val="20"/>
      <w:szCs w:val="20"/>
    </w:rPr>
  </w:style>
  <w:style w:type="character" w:styleId="CommentTextChar" w:customStyle="1">
    <w:name w:val="Comment Text Char"/>
    <w:basedOn w:val="DefaultParagraphFont"/>
    <w:link w:val="CommentText"/>
    <w:uiPriority w:val="99"/>
    <w:semiHidden/>
    <w:rsid w:val="005374C8"/>
    <w:rPr>
      <w:rFonts w:ascii="VIC" w:hAnsi="VIC" w:eastAsia="VIC" w:cs="VIC"/>
      <w:sz w:val="20"/>
      <w:szCs w:val="20"/>
    </w:rPr>
  </w:style>
  <w:style w:type="paragraph" w:styleId="CommentSubject">
    <w:name w:val="annotation subject"/>
    <w:basedOn w:val="CommentText"/>
    <w:next w:val="CommentText"/>
    <w:link w:val="CommentSubjectChar"/>
    <w:uiPriority w:val="99"/>
    <w:semiHidden/>
    <w:unhideWhenUsed/>
    <w:rsid w:val="005374C8"/>
    <w:rPr>
      <w:b/>
      <w:bCs/>
    </w:rPr>
  </w:style>
  <w:style w:type="character" w:styleId="CommentSubjectChar" w:customStyle="1">
    <w:name w:val="Comment Subject Char"/>
    <w:basedOn w:val="CommentTextChar"/>
    <w:link w:val="CommentSubject"/>
    <w:uiPriority w:val="99"/>
    <w:semiHidden/>
    <w:rsid w:val="005374C8"/>
    <w:rPr>
      <w:rFonts w:ascii="VIC" w:hAnsi="VIC" w:eastAsia="VIC" w:cs="VIC"/>
      <w:b/>
      <w:bCs/>
      <w:sz w:val="20"/>
      <w:szCs w:val="20"/>
    </w:rPr>
  </w:style>
  <w:style w:type="paragraph" w:styleId="Revision">
    <w:name w:val="Revision"/>
    <w:hidden/>
    <w:uiPriority w:val="99"/>
    <w:semiHidden/>
    <w:rsid w:val="005374C8"/>
    <w:pPr>
      <w:widowControl/>
      <w:autoSpaceDE/>
      <w:autoSpaceDN/>
    </w:pPr>
    <w:rPr>
      <w:rFonts w:ascii="VIC" w:hAnsi="VIC" w:eastAsia="VIC" w:cs="VIC"/>
    </w:rPr>
  </w:style>
  <w:style w:type="character" w:styleId="Hyperlink">
    <w:name w:val="Hyperlink"/>
    <w:basedOn w:val="DefaultParagraphFont"/>
    <w:uiPriority w:val="99"/>
    <w:unhideWhenUsed/>
    <w:rsid w:val="00F97D16"/>
    <w:rPr>
      <w:color w:val="0000FF" w:themeColor="hyperlink"/>
      <w:u w:val="single"/>
    </w:rPr>
  </w:style>
  <w:style w:type="character" w:styleId="UnresolvedMention">
    <w:name w:val="Unresolved Mention"/>
    <w:basedOn w:val="DefaultParagraphFont"/>
    <w:uiPriority w:val="99"/>
    <w:unhideWhenUsed/>
    <w:rsid w:val="00F97D16"/>
    <w:rPr>
      <w:color w:val="605E5C"/>
      <w:shd w:val="clear" w:color="auto" w:fill="E1DFDD"/>
    </w:rPr>
  </w:style>
  <w:style w:type="table" w:styleId="TableGrid">
    <w:name w:val="Table Grid"/>
    <w:basedOn w:val="TableNormal"/>
    <w:uiPriority w:val="39"/>
    <w:rsid w:val="003471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A46A9"/>
    <w:rPr>
      <w:sz w:val="20"/>
      <w:szCs w:val="20"/>
    </w:rPr>
  </w:style>
  <w:style w:type="character" w:styleId="FootnoteTextChar" w:customStyle="1">
    <w:name w:val="Footnote Text Char"/>
    <w:basedOn w:val="DefaultParagraphFont"/>
    <w:link w:val="FootnoteText"/>
    <w:uiPriority w:val="99"/>
    <w:semiHidden/>
    <w:rsid w:val="006A46A9"/>
    <w:rPr>
      <w:rFonts w:ascii="VIC" w:hAnsi="VIC" w:eastAsia="VIC" w:cs="VIC"/>
      <w:sz w:val="20"/>
      <w:szCs w:val="20"/>
    </w:rPr>
  </w:style>
  <w:style w:type="character" w:styleId="FootnoteReference">
    <w:name w:val="footnote reference"/>
    <w:basedOn w:val="DefaultParagraphFont"/>
    <w:uiPriority w:val="99"/>
    <w:semiHidden/>
    <w:unhideWhenUsed/>
    <w:rsid w:val="006A46A9"/>
    <w:rPr>
      <w:vertAlign w:val="superscript"/>
    </w:rPr>
  </w:style>
  <w:style w:type="character" w:styleId="Mention">
    <w:name w:val="Mention"/>
    <w:basedOn w:val="DefaultParagraphFont"/>
    <w:uiPriority w:val="99"/>
    <w:unhideWhenUsed/>
    <w:rsid w:val="00F467B7"/>
    <w:rPr>
      <w:color w:val="2B579A"/>
      <w:shd w:val="clear" w:color="auto" w:fill="E1DFDD"/>
    </w:rPr>
  </w:style>
  <w:style w:type="character" w:styleId="FollowedHyperlink">
    <w:name w:val="FollowedHyperlink"/>
    <w:basedOn w:val="DefaultParagraphFont"/>
    <w:uiPriority w:val="99"/>
    <w:semiHidden/>
    <w:unhideWhenUsed/>
    <w:rsid w:val="0096701F"/>
    <w:rPr>
      <w:color w:val="800080" w:themeColor="followedHyperlink"/>
      <w:u w:val="single"/>
    </w:rPr>
  </w:style>
  <w:style w:type="character" w:styleId="BodyTextChar" w:customStyle="1">
    <w:name w:val="Body Text Char"/>
    <w:basedOn w:val="DefaultParagraphFont"/>
    <w:link w:val="BodyText"/>
    <w:uiPriority w:val="1"/>
    <w:rsid w:val="00420848"/>
    <w:rPr>
      <w:rFonts w:ascii="VIC" w:hAnsi="VIC" w:eastAsia="VIC" w:cs="VIC"/>
    </w:rPr>
  </w:style>
  <w:style w:type="paragraph" w:styleId="TOCHeading">
    <w:name w:val="TOC Heading"/>
    <w:basedOn w:val="Heading1"/>
    <w:next w:val="Normal"/>
    <w:uiPriority w:val="39"/>
    <w:unhideWhenUsed/>
    <w:qFormat/>
    <w:rsid w:val="002C6246"/>
    <w:pPr>
      <w:keepNext/>
      <w:keepLines/>
      <w:widowControl/>
      <w:autoSpaceDE/>
      <w:autoSpaceDN/>
      <w:spacing w:before="240" w:line="259" w:lineRule="auto"/>
      <w:ind w:left="0"/>
      <w:outlineLvl w:val="9"/>
    </w:pPr>
    <w:rPr>
      <w:rFonts w:asciiTheme="majorHAnsi" w:hAnsiTheme="majorHAnsi"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B96FE3"/>
    <w:pPr>
      <w:tabs>
        <w:tab w:val="right" w:leader="dot" w:pos="8505"/>
      </w:tabs>
      <w:spacing w:after="100"/>
      <w:ind w:right="283"/>
    </w:pPr>
  </w:style>
  <w:style w:type="paragraph" w:styleId="TOC2">
    <w:name w:val="toc 2"/>
    <w:basedOn w:val="Normal"/>
    <w:next w:val="Normal"/>
    <w:autoRedefine/>
    <w:uiPriority w:val="39"/>
    <w:unhideWhenUsed/>
    <w:rsid w:val="002C6246"/>
    <w:pPr>
      <w:tabs>
        <w:tab w:val="left" w:pos="880"/>
        <w:tab w:val="right" w:leader="dot" w:pos="8505"/>
      </w:tabs>
      <w:spacing w:after="100"/>
      <w:ind w:left="220" w:righ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2511">
      <w:bodyDiv w:val="1"/>
      <w:marLeft w:val="0"/>
      <w:marRight w:val="0"/>
      <w:marTop w:val="0"/>
      <w:marBottom w:val="0"/>
      <w:divBdr>
        <w:top w:val="none" w:sz="0" w:space="0" w:color="auto"/>
        <w:left w:val="none" w:sz="0" w:space="0" w:color="auto"/>
        <w:bottom w:val="none" w:sz="0" w:space="0" w:color="auto"/>
        <w:right w:val="none" w:sz="0" w:space="0" w:color="auto"/>
      </w:divBdr>
    </w:div>
    <w:div w:id="992176500">
      <w:bodyDiv w:val="1"/>
      <w:marLeft w:val="0"/>
      <w:marRight w:val="0"/>
      <w:marTop w:val="0"/>
      <w:marBottom w:val="0"/>
      <w:divBdr>
        <w:top w:val="none" w:sz="0" w:space="0" w:color="auto"/>
        <w:left w:val="none" w:sz="0" w:space="0" w:color="auto"/>
        <w:bottom w:val="none" w:sz="0" w:space="0" w:color="auto"/>
        <w:right w:val="none" w:sz="0" w:space="0" w:color="auto"/>
      </w:divBdr>
    </w:div>
    <w:div w:id="1471242477">
      <w:bodyDiv w:val="1"/>
      <w:marLeft w:val="0"/>
      <w:marRight w:val="0"/>
      <w:marTop w:val="0"/>
      <w:marBottom w:val="0"/>
      <w:divBdr>
        <w:top w:val="none" w:sz="0" w:space="0" w:color="auto"/>
        <w:left w:val="none" w:sz="0" w:space="0" w:color="auto"/>
        <w:bottom w:val="none" w:sz="0" w:space="0" w:color="auto"/>
        <w:right w:val="none" w:sz="0" w:space="0" w:color="auto"/>
      </w:divBdr>
    </w:div>
    <w:div w:id="1759325475">
      <w:bodyDiv w:val="1"/>
      <w:marLeft w:val="0"/>
      <w:marRight w:val="0"/>
      <w:marTop w:val="0"/>
      <w:marBottom w:val="0"/>
      <w:divBdr>
        <w:top w:val="none" w:sz="0" w:space="0" w:color="auto"/>
        <w:left w:val="none" w:sz="0" w:space="0" w:color="auto"/>
        <w:bottom w:val="none" w:sz="0" w:space="0" w:color="auto"/>
        <w:right w:val="none" w:sz="0" w:space="0" w:color="auto"/>
      </w:divBdr>
    </w:div>
    <w:div w:id="1856379803">
      <w:bodyDiv w:val="1"/>
      <w:marLeft w:val="0"/>
      <w:marRight w:val="0"/>
      <w:marTop w:val="0"/>
      <w:marBottom w:val="0"/>
      <w:divBdr>
        <w:top w:val="none" w:sz="0" w:space="0" w:color="auto"/>
        <w:left w:val="none" w:sz="0" w:space="0" w:color="auto"/>
        <w:bottom w:val="none" w:sz="0" w:space="0" w:color="auto"/>
        <w:right w:val="none" w:sz="0" w:space="0" w:color="auto"/>
      </w:divBdr>
    </w:div>
    <w:div w:id="2074115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yperlink" Target="https://vpsc.vic.gov.au/about-public-sector/employer-public-sector-bodies/"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jse@vpsc.vic.gov.au"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microsoft.com/office/2020/10/relationships/intelligence" Target="intelligence2.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6D247EEC939E94B95F86F6BB9BFFD2E" ma:contentTypeVersion="17" ma:contentTypeDescription="Create a new document." ma:contentTypeScope="" ma:versionID="b96b8ca97550ebd0e10ed41aa710be2f">
  <xsd:schema xmlns:xsd="http://www.w3.org/2001/XMLSchema" xmlns:xs="http://www.w3.org/2001/XMLSchema" xmlns:p="http://schemas.microsoft.com/office/2006/metadata/properties" xmlns:ns2="481b8075-6354-4763-b122-874eba13fc8c" xmlns:ns3="05c5f001-10ba-43ac-9844-53331992d433" targetNamespace="http://schemas.microsoft.com/office/2006/metadata/properties" ma:root="true" ma:fieldsID="8e61bcc1c57aa0d8059fecf5cedbb39e" ns2:_="" ns3:_="">
    <xsd:import namespace="481b8075-6354-4763-b122-874eba13fc8c"/>
    <xsd:import namespace="05c5f001-10ba-43ac-9844-53331992d4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5f001-10ba-43ac-9844-53331992d4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1b8075-6354-4763-b122-874eba13fc8c">
      <UserInfo>
        <DisplayName>Suzanne Nussey (VPSC)</DisplayName>
        <AccountId>25</AccountId>
        <AccountType/>
      </UserInfo>
      <UserInfo>
        <DisplayName>SharingLinks.d06308db-88fa-493d-95bc-b512964e7670.Flexible.ebe9710e-ef05-4e78-8bf0-32e3f2a94c73</DisplayName>
        <AccountId>385</AccountId>
        <AccountType/>
      </UserInfo>
      <UserInfo>
        <DisplayName>Gabriel Kypriotis (DPC)</DisplayName>
        <AccountId>366</AccountId>
        <AccountType/>
      </UserInfo>
      <UserInfo>
        <DisplayName>All Users (windows)</DisplayName>
        <AccountId>12</AccountId>
        <AccountType/>
      </UserInfo>
      <UserInfo>
        <DisplayName>Limited Access System Group For List 38a536d4-4969-4874-b8c1-7306a20628ca</DisplayName>
        <AccountId>22</AccountId>
        <AccountType/>
      </UserInfo>
      <UserInfo>
        <DisplayName>Jennifer L Stephenson (DJCS)</DisplayName>
        <AccountId>716</AccountId>
        <AccountType/>
      </UserInfo>
      <UserInfo>
        <DisplayName>SharingLinks.4ea47e89-9b6b-41fb-a6c1-95cc07bd0cf9.Flexible.50a22f84-fdd5-43fa-85cb-9edba876203b</DisplayName>
        <AccountId>822</AccountId>
        <AccountType/>
      </UserInfo>
      <UserInfo>
        <DisplayName>SharingLinks.308ba516-0f26-45d2-81d8-503e928b4a52.OrganizationEdit.61e727e6-d86f-4538-9b2e-40d9b214dc1a</DisplayName>
        <AccountId>1097</AccountId>
        <AccountType/>
      </UserInfo>
      <UserInfo>
        <DisplayName>SharingLinks.c6c4d997-d177-494b-a5ac-0acc3ff4e086.Flexible.b09f8294-7f0d-40a1-9480-9eb325749c8a</DisplayName>
        <AccountId>86</AccountId>
        <AccountType/>
      </UserInfo>
      <UserInfo>
        <DisplayName>Henry Daniel (VPSC)</DisplayName>
        <AccountId>11</AccountId>
        <AccountType/>
      </UserInfo>
      <UserInfo>
        <DisplayName>Amy Smith (VPSC)</DisplayName>
        <AccountId>50</AccountId>
        <AccountType/>
      </UserInfo>
    </SharedWithUsers>
    <TaxCatchAll xmlns="481b8075-6354-4763-b122-874eba13fc8c" xsi:nil="true"/>
    <_dlc_DocId xmlns="481b8075-6354-4763-b122-874eba13fc8c">YH7T4RPZDFWT-1260978249-15008</_dlc_DocId>
    <_dlc_DocIdUrl xmlns="481b8075-6354-4763-b122-874eba13fc8c">
      <Url>https://vicgov.sharepoint.com/sites/vpsc/_layouts/15/DocIdRedir.aspx?ID=YH7T4RPZDFWT-1260978249-15008</Url>
      <Description>YH7T4RPZDFWT-1260978249-15008</Description>
    </_dlc_DocIdUrl>
    <lcf76f155ced4ddcb4097134ff3c332f xmlns="05c5f001-10ba-43ac-9844-53331992d43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247B-7BDF-4F08-A32F-5BDA33D044DF}">
  <ds:schemaRefs>
    <ds:schemaRef ds:uri="http://schemas.microsoft.com/sharepoint/events"/>
  </ds:schemaRefs>
</ds:datastoreItem>
</file>

<file path=customXml/itemProps2.xml><?xml version="1.0" encoding="utf-8"?>
<ds:datastoreItem xmlns:ds="http://schemas.openxmlformats.org/officeDocument/2006/customXml" ds:itemID="{5E907E7D-A5BD-438D-9BD2-6E94D30D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b8075-6354-4763-b122-874eba13fc8c"/>
    <ds:schemaRef ds:uri="05c5f001-10ba-43ac-9844-53331992d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DAA0E-CCCE-448B-8FCF-1B4F4C098D23}">
  <ds:schemaRefs>
    <ds:schemaRef ds:uri="http://schemas.microsoft.com/office/2006/metadata/properties"/>
    <ds:schemaRef ds:uri="http://schemas.microsoft.com/office/infopath/2007/PartnerControls"/>
    <ds:schemaRef ds:uri="481b8075-6354-4763-b122-874eba13fc8c"/>
    <ds:schemaRef ds:uri="05c5f001-10ba-43ac-9844-53331992d433"/>
  </ds:schemaRefs>
</ds:datastoreItem>
</file>

<file path=customXml/itemProps4.xml><?xml version="1.0" encoding="utf-8"?>
<ds:datastoreItem xmlns:ds="http://schemas.openxmlformats.org/officeDocument/2006/customXml" ds:itemID="{9CF42A8A-F4AB-48A2-B7B2-CFB93E9505EE}">
  <ds:schemaRefs>
    <ds:schemaRef ds:uri="http://schemas.microsoft.com/sharepoint/v3/contenttype/forms"/>
  </ds:schemaRefs>
</ds:datastoreItem>
</file>

<file path=customXml/itemProps5.xml><?xml version="1.0" encoding="utf-8"?>
<ds:datastoreItem xmlns:ds="http://schemas.openxmlformats.org/officeDocument/2006/customXml" ds:itemID="{08F0988C-727E-427A-A487-E2AB45732C10}">
  <ds:schemaRefs>
    <ds:schemaRef ds:uri="http://www.w3.org/2001/XMLSchema"/>
  </ds:schemaRefs>
</ds:datastoreItem>
</file>

<file path=customXml/itemProps6.xml><?xml version="1.0" encoding="utf-8"?>
<ds:datastoreItem xmlns:ds="http://schemas.openxmlformats.org/officeDocument/2006/customXml" ds:itemID="{2624369A-A1CA-4FDC-8A9A-E0B5ACA569A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JSE Recruitment Policy - October 2020</dc:title>
  <dc:subject/>
  <dc:creator>Jurgen Schaub</dc:creator>
  <keywords/>
  <lastModifiedBy>Henry Daniel (VPSC)</lastModifiedBy>
  <revision>60</revision>
  <lastPrinted>2022-04-12T04:38:00.0000000Z</lastPrinted>
  <dcterms:created xsi:type="dcterms:W3CDTF">2024-04-06T01:21:00.0000000Z</dcterms:created>
  <dcterms:modified xsi:type="dcterms:W3CDTF">2024-05-22T04:00:16.1572747Z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Word</vt:lpwstr>
  </property>
  <property fmtid="{D5CDD505-2E9C-101B-9397-08002B2CF9AE}" pid="4" name="LastSaved">
    <vt:filetime>2020-10-16T00:00:00Z</vt:filetime>
  </property>
  <property fmtid="{D5CDD505-2E9C-101B-9397-08002B2CF9AE}" pid="5" name="ContentTypeId">
    <vt:lpwstr>0x01010056D247EEC939E94B95F86F6BB9BFFD2E</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2023-01-18T01:41:04Z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d74ac5b5-0629-4c37-980f-022eb028902e</vt:lpwstr>
  </property>
  <property fmtid="{D5CDD505-2E9C-101B-9397-08002B2CF9AE}" pid="13" name="MSIP_Label_7158ebbd-6c5e-441f-bfc9-4eb8c11e3978_ContentBits">
    <vt:lpwstr>2</vt:lpwstr>
  </property>
  <property fmtid="{D5CDD505-2E9C-101B-9397-08002B2CF9AE}" pid="14" name="Topic">
    <vt:lpwstr>185;#Technology and telecommunications:Data administration|0772b217-3e87-46d8-a96e-71b89035744c;#184;#Technology and telecommunications:Customer service|75f416b1-a153-438f-93dc-21f93ee4b810;#189;#Technology and telecommunications:Implementation and installation|8662180b-99a9-4c7c-b8ec-002737fad988;#193;#Technology and telecommunications:Maintenance|1b70856f-e24d-4a57-af70-6ab8c3d7aabb</vt:lpwstr>
  </property>
  <property fmtid="{D5CDD505-2E9C-101B-9397-08002B2CF9AE}" pid="15" name="_dlc_DocIdItemGuid">
    <vt:lpwstr>01ad33b5-cee3-4b57-8eb3-c5bf6fdd0f10</vt:lpwstr>
  </property>
  <property fmtid="{D5CDD505-2E9C-101B-9397-08002B2CF9AE}" pid="16" name="_docset_NoMedatataSyncRequired">
    <vt:lpwstr>False</vt:lpwstr>
  </property>
</Properties>
</file>